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3C2" w:rsidRDefault="009673C2" w:rsidP="009673C2">
      <w:pPr>
        <w:rPr>
          <w:sz w:val="21"/>
          <w:szCs w:val="21"/>
          <w:lang w:eastAsia="pt-BR"/>
        </w:rPr>
      </w:pPr>
      <w:r w:rsidRPr="009673C2">
        <w:rPr>
          <w:lang w:eastAsia="pt-BR"/>
        </w:rPr>
        <w:t>COMUNICADO Nº 37/2018 - EXECUÇÃO DAS EMENDAS COM IMPEDIMENTOS TÉCNICOS</w:t>
      </w:r>
      <w:r w:rsidRPr="009673C2">
        <w:rPr>
          <w:rFonts w:ascii="Times New Roman" w:hAnsi="Times New Roman" w:cs="Times New Roman"/>
          <w:sz w:val="24"/>
          <w:szCs w:val="24"/>
          <w:lang w:eastAsia="pt-BR"/>
        </w:rPr>
        <w:br/>
      </w:r>
    </w:p>
    <w:p w:rsidR="009673C2" w:rsidRPr="009673C2" w:rsidRDefault="009673C2" w:rsidP="009673C2">
      <w:pPr>
        <w:rPr>
          <w:sz w:val="21"/>
          <w:szCs w:val="21"/>
          <w:lang w:eastAsia="pt-BR"/>
        </w:rPr>
      </w:pPr>
      <w:r w:rsidRPr="009673C2">
        <w:rPr>
          <w:sz w:val="21"/>
          <w:szCs w:val="21"/>
          <w:lang w:eastAsia="pt-BR"/>
        </w:rPr>
        <w:t>Em atenção ao disposto no Parágrafo único do art. 17 c/c com o art. 7º da Portaria Interministerial nº 10, de 23 de janeiro de 2018, a Secretaria de Gestão-Seges/MP divulga novo cronograma referencial para:</w:t>
      </w:r>
    </w:p>
    <w:p w:rsidR="009673C2" w:rsidRPr="009673C2" w:rsidRDefault="009673C2" w:rsidP="009673C2">
      <w:pPr>
        <w:numPr>
          <w:ilvl w:val="0"/>
          <w:numId w:val="1"/>
        </w:numPr>
        <w:spacing w:after="60" w:line="240" w:lineRule="auto"/>
        <w:ind w:left="375"/>
        <w:jc w:val="both"/>
        <w:textAlignment w:val="baseline"/>
        <w:rPr>
          <w:rFonts w:ascii="Helvetica" w:eastAsia="Times New Roman" w:hAnsi="Helvetica" w:cs="Helvetica"/>
          <w:sz w:val="19"/>
          <w:szCs w:val="19"/>
          <w:lang w:eastAsia="pt-BR"/>
        </w:rPr>
      </w:pPr>
      <w:r w:rsidRPr="009673C2">
        <w:rPr>
          <w:rFonts w:ascii="Helvetica" w:eastAsia="Times New Roman" w:hAnsi="Helvetica" w:cs="Helvetica"/>
          <w:sz w:val="19"/>
          <w:szCs w:val="19"/>
          <w:lang w:eastAsia="pt-BR"/>
        </w:rPr>
        <w:t>Reanálise e finalização dos procedimentos das propostas que tiveram impedimento técnico, mas que mantiveram os mesmos beneficiários; e</w:t>
      </w:r>
    </w:p>
    <w:p w:rsidR="009673C2" w:rsidRPr="009673C2" w:rsidRDefault="009673C2" w:rsidP="009673C2">
      <w:pPr>
        <w:numPr>
          <w:ilvl w:val="0"/>
          <w:numId w:val="1"/>
        </w:numPr>
        <w:spacing w:after="60" w:line="240" w:lineRule="auto"/>
        <w:ind w:left="375"/>
        <w:jc w:val="both"/>
        <w:textAlignment w:val="baseline"/>
        <w:rPr>
          <w:rFonts w:ascii="Helvetica" w:eastAsia="Times New Roman" w:hAnsi="Helvetica" w:cs="Helvetica"/>
          <w:sz w:val="19"/>
          <w:szCs w:val="19"/>
          <w:lang w:eastAsia="pt-BR"/>
        </w:rPr>
      </w:pPr>
      <w:r w:rsidRPr="009673C2">
        <w:rPr>
          <w:rFonts w:ascii="Helvetica" w:eastAsia="Times New Roman" w:hAnsi="Helvetica" w:cs="Helvetica"/>
          <w:sz w:val="19"/>
          <w:szCs w:val="19"/>
          <w:lang w:eastAsia="pt-BR"/>
        </w:rPr>
        <w:t>Início do processo para as emendas que tiveram impedimento técnico, com posterior troca de beneficiários.</w:t>
      </w:r>
    </w:p>
    <w:p w:rsidR="009673C2" w:rsidRPr="009673C2" w:rsidRDefault="009673C2" w:rsidP="009673C2">
      <w:pPr>
        <w:spacing w:before="100" w:beforeAutospacing="1" w:after="15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Considerando que a operacionalização dos instrumentos se dá de duas formas distintas (diretamente pelos órgãos concedentes ou com a utilização das instituições mandatárias), a Secretaria de Gestão do Ministério do Planejamento, Desenvolvimento e Gestão (SEGES/MP) divulga 04 (quatro) Cronogramas Referenciais, conforme abaixo:</w:t>
      </w:r>
    </w:p>
    <w:p w:rsidR="009673C2" w:rsidRPr="009673C2" w:rsidRDefault="009673C2" w:rsidP="009673C2">
      <w:pPr>
        <w:spacing w:before="100" w:beforeAutospacing="1" w:after="150" w:line="420" w:lineRule="atLeast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 </w:t>
      </w: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 xml:space="preserve">CRONOGRAMA 1 – CONVÊNIOS, TERMOS DE FOMENTO, TERMOS DE COLABORAÇÃO </w:t>
      </w:r>
      <w:proofErr w:type="gramStart"/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E  TERMOS</w:t>
      </w:r>
      <w:proofErr w:type="gramEnd"/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 xml:space="preserve"> DE PARCERIA</w:t>
      </w:r>
    </w:p>
    <w:tbl>
      <w:tblPr>
        <w:tblW w:w="8925" w:type="dxa"/>
        <w:tblBorders>
          <w:top w:val="single" w:sz="6" w:space="0" w:color="E8E7E7"/>
          <w:left w:val="single" w:sz="6" w:space="0" w:color="E8E7E7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2865"/>
        <w:gridCol w:w="1530"/>
      </w:tblGrid>
      <w:tr w:rsidR="009673C2" w:rsidRPr="009673C2" w:rsidTr="009673C2">
        <w:tc>
          <w:tcPr>
            <w:tcW w:w="89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CRONOGRAMA REFERENCIAL</w:t>
            </w: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 PARA REANÁLISE E FINALIZAÇÃO DOS PROCEDIMENTOS DAS PROPOSTAS QUE TIVERAM IMPEDIMENTO TÉCNICO, MAS QUE MANTIVERAM OS MESMOS BENEFICIÁRIOS</w:t>
            </w:r>
          </w:p>
        </w:tc>
      </w:tr>
      <w:tr w:rsidR="009673C2" w:rsidRPr="009673C2" w:rsidTr="009673C2"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AÇÃO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RESPONSÁVEL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Prazos</w:t>
            </w:r>
          </w:p>
        </w:tc>
      </w:tr>
      <w:tr w:rsidR="009673C2" w:rsidRPr="009673C2" w:rsidTr="009673C2"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Solicitação de complementação da proposta e Plano de Trabalho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Concedente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11/06</w:t>
            </w:r>
          </w:p>
        </w:tc>
      </w:tr>
      <w:tr w:rsidR="009673C2" w:rsidRPr="009673C2" w:rsidTr="009673C2"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​Complementação das Propostas e Plano de Trabalho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Proponente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16/06</w:t>
            </w:r>
          </w:p>
        </w:tc>
      </w:tr>
      <w:tr w:rsidR="009673C2" w:rsidRPr="009673C2" w:rsidTr="009673C2"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​Reanálise das Propostas e Plano de Trabalho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Concedente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02/07</w:t>
            </w:r>
          </w:p>
        </w:tc>
      </w:tr>
    </w:tbl>
    <w:p w:rsidR="009673C2" w:rsidRPr="009673C2" w:rsidRDefault="009673C2" w:rsidP="009673C2">
      <w:pPr>
        <w:spacing w:before="100" w:beforeAutospacing="1" w:after="150" w:line="420" w:lineRule="atLeast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 </w:t>
      </w: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CRONOGRAMA 2 – CONTRATOS DE REPASSE - COM UTILIZAÇÃO DAS MANDATÁRIAS</w:t>
      </w:r>
    </w:p>
    <w:p w:rsidR="009673C2" w:rsidRPr="009673C2" w:rsidRDefault="009673C2" w:rsidP="009673C2">
      <w:pPr>
        <w:spacing w:beforeAutospacing="1" w:after="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(Celebração dos instrumentos pelas Mandatárias)</w:t>
      </w:r>
    </w:p>
    <w:tbl>
      <w:tblPr>
        <w:tblW w:w="8880" w:type="dxa"/>
        <w:tblBorders>
          <w:top w:val="single" w:sz="6" w:space="0" w:color="E8E7E7"/>
          <w:left w:val="single" w:sz="6" w:space="0" w:color="E8E7E7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2970"/>
        <w:gridCol w:w="1425"/>
      </w:tblGrid>
      <w:tr w:rsidR="009673C2" w:rsidRPr="009673C2" w:rsidTr="009673C2">
        <w:tc>
          <w:tcPr>
            <w:tcW w:w="888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CRONOGRAMA REFERENCIAL</w:t>
            </w: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 PARA REANÁLISE E FINALIZAÇÃO DOS PROCEDIMENTOS DAS PROPOSTAS QUE TIVERAM IMPEDIMENTO TÉCNICO, MAS QUE MANTIVERAM OS MESMOS BENEFICIÁRIOS</w:t>
            </w:r>
          </w:p>
        </w:tc>
      </w:tr>
      <w:tr w:rsidR="009673C2" w:rsidRPr="009673C2" w:rsidTr="009673C2">
        <w:tc>
          <w:tcPr>
            <w:tcW w:w="888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 </w:t>
            </w:r>
          </w:p>
        </w:tc>
      </w:tr>
      <w:tr w:rsidR="009673C2" w:rsidRPr="009673C2" w:rsidTr="009673C2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AÇÃO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RESPONSÁVEL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Prazos</w:t>
            </w:r>
          </w:p>
        </w:tc>
      </w:tr>
      <w:tr w:rsidR="009673C2" w:rsidRPr="009673C2" w:rsidTr="009673C2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Solicitação de complementação da proposta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Concedente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11/06</w:t>
            </w:r>
          </w:p>
        </w:tc>
      </w:tr>
      <w:tr w:rsidR="009673C2" w:rsidRPr="009673C2" w:rsidTr="009673C2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​Complementação das Propostas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Proponente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16/06</w:t>
            </w:r>
          </w:p>
        </w:tc>
      </w:tr>
      <w:tr w:rsidR="009673C2" w:rsidRPr="009673C2" w:rsidTr="009673C2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lastRenderedPageBreak/>
              <w:t>​Reanálise das Propostas e Envio para a Mandatária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Concedente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22/06</w:t>
            </w:r>
          </w:p>
        </w:tc>
      </w:tr>
      <w:tr w:rsidR="009673C2" w:rsidRPr="009673C2" w:rsidTr="009673C2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Análise PT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Mandatária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02/07</w:t>
            </w:r>
          </w:p>
        </w:tc>
      </w:tr>
    </w:tbl>
    <w:p w:rsidR="009673C2" w:rsidRPr="009673C2" w:rsidRDefault="009673C2" w:rsidP="009673C2">
      <w:pPr>
        <w:spacing w:before="100" w:beforeAutospacing="1" w:after="150" w:line="420" w:lineRule="atLeast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 </w:t>
      </w: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 xml:space="preserve">CRONOGRAMA 3 – CONVÊNIOS, TERMOS DE FOMENTO, TERMOS DE COLABORAÇÃO </w:t>
      </w:r>
      <w:proofErr w:type="gramStart"/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E  TERMOS</w:t>
      </w:r>
      <w:proofErr w:type="gramEnd"/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 xml:space="preserve"> DE PARCERIA</w:t>
      </w:r>
    </w:p>
    <w:tbl>
      <w:tblPr>
        <w:tblW w:w="8925" w:type="dxa"/>
        <w:tblBorders>
          <w:top w:val="single" w:sz="6" w:space="0" w:color="E8E7E7"/>
          <w:left w:val="single" w:sz="6" w:space="0" w:color="E8E7E7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2550"/>
        <w:gridCol w:w="1710"/>
      </w:tblGrid>
      <w:tr w:rsidR="009673C2" w:rsidRPr="009673C2" w:rsidTr="009673C2">
        <w:tc>
          <w:tcPr>
            <w:tcW w:w="89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CRONOGRAMA REFERENCIAL PARA INÍCIO DO PROCESSO PARA AS EMENDAS QUE TIVERAM IMPEDIMENTO TÉCNICO, COM POSTERIOR TROCA DE BENEFICIÁRIOS</w:t>
            </w:r>
          </w:p>
        </w:tc>
      </w:tr>
      <w:tr w:rsidR="009673C2" w:rsidRPr="009673C2" w:rsidTr="009673C2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AÇÃO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RESPONSÁVEL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Prazos</w:t>
            </w:r>
          </w:p>
        </w:tc>
      </w:tr>
      <w:tr w:rsidR="009673C2" w:rsidRPr="009673C2" w:rsidTr="009673C2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​Divulgação dos Programas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Concedente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07/06</w:t>
            </w:r>
          </w:p>
        </w:tc>
      </w:tr>
      <w:tr w:rsidR="009673C2" w:rsidRPr="009673C2" w:rsidTr="009673C2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​Envio das Propostas e Plano de Trabalho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Proponente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16/06</w:t>
            </w:r>
          </w:p>
        </w:tc>
      </w:tr>
      <w:tr w:rsidR="009673C2" w:rsidRPr="009673C2" w:rsidTr="009673C2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​Análise das Propostas e Plano de Trabalho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Concedente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22/06</w:t>
            </w:r>
          </w:p>
        </w:tc>
      </w:tr>
      <w:tr w:rsidR="009673C2" w:rsidRPr="009673C2" w:rsidTr="009673C2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​Complementação das Propostas e Plano de Trabalho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Proponente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26/06</w:t>
            </w:r>
          </w:p>
        </w:tc>
      </w:tr>
      <w:tr w:rsidR="009673C2" w:rsidRPr="009673C2" w:rsidTr="009673C2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​Reanálise das Propostas e Plano de Trabalho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Concedente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02/07</w:t>
            </w:r>
          </w:p>
        </w:tc>
      </w:tr>
    </w:tbl>
    <w:p w:rsidR="009673C2" w:rsidRPr="009673C2" w:rsidRDefault="009673C2" w:rsidP="009673C2">
      <w:pPr>
        <w:spacing w:beforeAutospacing="1" w:after="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CRONOGRAMA 4 – CONTRATOS DE REPASSE - COM UTILIZAÇÃO DAS MANDATÁRIAS</w:t>
      </w:r>
    </w:p>
    <w:p w:rsidR="009673C2" w:rsidRPr="009673C2" w:rsidRDefault="009673C2" w:rsidP="009673C2">
      <w:pPr>
        <w:spacing w:beforeAutospacing="1" w:after="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(Celebração dos instrumentos pelas Mandatárias)</w:t>
      </w:r>
    </w:p>
    <w:tbl>
      <w:tblPr>
        <w:tblW w:w="8925" w:type="dxa"/>
        <w:tblBorders>
          <w:top w:val="single" w:sz="6" w:space="0" w:color="E8E7E7"/>
          <w:left w:val="single" w:sz="6" w:space="0" w:color="E8E7E7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100"/>
        <w:gridCol w:w="1590"/>
      </w:tblGrid>
      <w:tr w:rsidR="009673C2" w:rsidRPr="009673C2" w:rsidTr="009673C2">
        <w:tc>
          <w:tcPr>
            <w:tcW w:w="89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CRONOGRAMA REFERENCIAL</w:t>
            </w: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 PARA INÍCIO DO PROCESSO PARA AS EMENDAS QUE TIVERAM IMPEDIMENTO TÉCNICO, COM POSTERIOR TROCA DE BENEFICIÁRIOS.</w:t>
            </w:r>
          </w:p>
        </w:tc>
      </w:tr>
      <w:tr w:rsidR="009673C2" w:rsidRPr="009673C2" w:rsidTr="009673C2"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AÇÃO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RESPONSÁVEL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eastAsia="pt-BR"/>
              </w:rPr>
              <w:t>Prazos</w:t>
            </w:r>
          </w:p>
        </w:tc>
      </w:tr>
      <w:tr w:rsidR="009673C2" w:rsidRPr="009673C2" w:rsidTr="009673C2"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​Divulgação dos Programas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Concedente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07/06</w:t>
            </w:r>
          </w:p>
        </w:tc>
      </w:tr>
      <w:tr w:rsidR="009673C2" w:rsidRPr="009673C2" w:rsidTr="009673C2"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​Envio das Propostas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Proponente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13/06</w:t>
            </w:r>
          </w:p>
        </w:tc>
      </w:tr>
      <w:tr w:rsidR="009673C2" w:rsidRPr="009673C2" w:rsidTr="009673C2"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​Análise das Propostas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Concedente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16/06</w:t>
            </w:r>
          </w:p>
        </w:tc>
      </w:tr>
      <w:tr w:rsidR="009673C2" w:rsidRPr="009673C2" w:rsidTr="009673C2"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​Complementação das Propostas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Proponente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18/06</w:t>
            </w:r>
          </w:p>
        </w:tc>
      </w:tr>
      <w:tr w:rsidR="009673C2" w:rsidRPr="009673C2" w:rsidTr="009673C2"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​Reanálise das Propostas e Envio para a Mandatária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Concedente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22/06</w:t>
            </w:r>
          </w:p>
        </w:tc>
      </w:tr>
      <w:tr w:rsidR="009673C2" w:rsidRPr="009673C2" w:rsidTr="009673C2"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Análise PT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Mandatária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single" w:sz="6" w:space="0" w:color="E8E7E7"/>
              <w:right w:val="single" w:sz="6" w:space="0" w:color="E8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673C2" w:rsidRPr="009673C2" w:rsidRDefault="009673C2" w:rsidP="009673C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</w:pPr>
            <w:r w:rsidRPr="009673C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pt-BR"/>
              </w:rPr>
              <w:t>Até 02/07</w:t>
            </w:r>
          </w:p>
        </w:tc>
      </w:tr>
    </w:tbl>
    <w:p w:rsidR="009673C2" w:rsidRPr="009673C2" w:rsidRDefault="009673C2" w:rsidP="009673C2">
      <w:pPr>
        <w:spacing w:before="100" w:beforeAutospacing="1" w:after="150" w:line="420" w:lineRule="atLeast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 </w:t>
      </w: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Observação 1: </w:t>
      </w: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Os Cronogramas acima não se aplicam para as emendas individuais que foram objeto de impedimento técnico e que dependem de alterações orçamentárias por Portaria do Ministério do Planejamento, Desenvolvimento e Gestão (MP) ou de aprovação de Projeto de Lei pelo Congresso Nacional.  </w:t>
      </w:r>
    </w:p>
    <w:p w:rsidR="009673C2" w:rsidRPr="009673C2" w:rsidRDefault="009673C2" w:rsidP="009673C2">
      <w:pPr>
        <w:spacing w:before="100" w:beforeAutospacing="1" w:after="150" w:line="420" w:lineRule="atLeast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lastRenderedPageBreak/>
        <w:t> </w:t>
      </w: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Observação 2:  </w:t>
      </w: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Em atenção ao disposto na alínea "a" do inciso VI do art. 73 da Lei 9.504, de 30 de setembro de 1997 (Lei Eleitoral), é proibido realizar transferência voluntária de recursos da União aos Estados, Distrito Federal e Municípios nos três meses que antecedem o pleito.</w:t>
      </w:r>
    </w:p>
    <w:p w:rsidR="009673C2" w:rsidRPr="009673C2" w:rsidRDefault="009673C2" w:rsidP="009673C2">
      <w:pPr>
        <w:spacing w:beforeAutospacing="1" w:after="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i/>
          <w:iCs/>
          <w:sz w:val="21"/>
          <w:szCs w:val="21"/>
          <w:lang w:eastAsia="pt-BR"/>
        </w:rPr>
        <w:t>"Art. 73. São proibidas aos agentes públicos, servidores ou não, as seguintes condutas tendentes a afetar a igualdade de oportunidades entre candidatos nos pleitos eleitorais:</w:t>
      </w:r>
    </w:p>
    <w:p w:rsidR="009673C2" w:rsidRPr="009673C2" w:rsidRDefault="009673C2" w:rsidP="009673C2">
      <w:pPr>
        <w:spacing w:beforeAutospacing="1" w:after="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b/>
          <w:bCs/>
          <w:i/>
          <w:iCs/>
          <w:sz w:val="21"/>
          <w:szCs w:val="21"/>
          <w:lang w:eastAsia="pt-BR"/>
        </w:rPr>
        <w:t>(.........)</w:t>
      </w:r>
    </w:p>
    <w:p w:rsidR="009673C2" w:rsidRPr="009673C2" w:rsidRDefault="009673C2" w:rsidP="009673C2">
      <w:pPr>
        <w:spacing w:beforeAutospacing="1" w:after="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i/>
          <w:iCs/>
          <w:sz w:val="21"/>
          <w:szCs w:val="21"/>
          <w:lang w:eastAsia="pt-BR"/>
        </w:rPr>
        <w:t>VI - nos três meses que antecedem o pleito:</w:t>
      </w:r>
    </w:p>
    <w:p w:rsidR="009673C2" w:rsidRPr="009673C2" w:rsidRDefault="009673C2" w:rsidP="009673C2">
      <w:pPr>
        <w:spacing w:beforeAutospacing="1" w:after="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i/>
          <w:iCs/>
          <w:sz w:val="21"/>
          <w:szCs w:val="21"/>
          <w:lang w:eastAsia="pt-BR"/>
        </w:rPr>
        <w:t>a) realizar transferência voluntária de recursos da União aos Estados e Municípios, e dos Estados aos Municípios, sob pena de nulidade de pleno direito, ressalvados os recursos destinados a cumprir obrigação formal preexistente para execução de obra ou serviço em andamento e com cronograma prefixado, e os destinados a atender situações de emergência e de calamidade pública;"</w:t>
      </w:r>
    </w:p>
    <w:p w:rsidR="009673C2" w:rsidRPr="009673C2" w:rsidRDefault="009673C2" w:rsidP="009673C2">
      <w:pPr>
        <w:spacing w:beforeAutospacing="1" w:after="0" w:line="420" w:lineRule="atLeast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Em caso de dúvidas, consultar a </w:t>
      </w:r>
      <w:hyperlink r:id="rId5" w:tgtFrame="_blank" w:history="1">
        <w:r w:rsidRPr="009673C2">
          <w:rPr>
            <w:rFonts w:ascii="Helvetica" w:eastAsia="Times New Roman" w:hAnsi="Helvetica" w:cs="Helvetica"/>
            <w:color w:val="0088CC"/>
            <w:sz w:val="21"/>
            <w:szCs w:val="21"/>
            <w:u w:val="single"/>
            <w:lang w:eastAsia="pt-BR"/>
          </w:rPr>
          <w:t>Cartilha Condutas Vedadas aos Agentes Públicos em Eleições- 2018 (AGU)</w:t>
        </w:r>
      </w:hyperlink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.</w:t>
      </w:r>
    </w:p>
    <w:p w:rsidR="009673C2" w:rsidRPr="009673C2" w:rsidRDefault="009673C2" w:rsidP="009673C2">
      <w:pPr>
        <w:spacing w:before="100" w:beforeAutospacing="1" w:after="150" w:line="420" w:lineRule="atLeast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 </w:t>
      </w: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Observação 3:  </w:t>
      </w: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Nos casos de convênios e contratos de repasse, os órgãos deverão observar as regras dispostas na PI nº 424, de 2016, especialmente àquelas do inciso II do art. 41, </w:t>
      </w:r>
      <w:r w:rsidRPr="009673C2">
        <w:rPr>
          <w:rFonts w:ascii="Helvetica" w:eastAsia="Times New Roman" w:hAnsi="Helvetica" w:cs="Helvetica"/>
          <w:i/>
          <w:iCs/>
          <w:sz w:val="21"/>
          <w:szCs w:val="21"/>
          <w:lang w:eastAsia="pt-BR"/>
        </w:rPr>
        <w:t xml:space="preserve">in </w:t>
      </w:r>
      <w:proofErr w:type="spellStart"/>
      <w:r w:rsidRPr="009673C2">
        <w:rPr>
          <w:rFonts w:ascii="Helvetica" w:eastAsia="Times New Roman" w:hAnsi="Helvetica" w:cs="Helvetica"/>
          <w:i/>
          <w:iCs/>
          <w:sz w:val="21"/>
          <w:szCs w:val="21"/>
          <w:lang w:eastAsia="pt-BR"/>
        </w:rPr>
        <w:t>verbis</w:t>
      </w:r>
      <w:proofErr w:type="spellEnd"/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:</w:t>
      </w:r>
    </w:p>
    <w:p w:rsidR="009673C2" w:rsidRPr="009673C2" w:rsidRDefault="009673C2" w:rsidP="009673C2">
      <w:pPr>
        <w:spacing w:beforeAutospacing="1" w:after="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i/>
          <w:iCs/>
          <w:sz w:val="21"/>
          <w:szCs w:val="21"/>
          <w:lang w:eastAsia="pt-BR"/>
        </w:rPr>
        <w:t>"II - a liberação da primeira parcela ou parcela única ficará condicionada ao:</w:t>
      </w:r>
    </w:p>
    <w:p w:rsidR="009673C2" w:rsidRPr="009673C2" w:rsidRDefault="009673C2" w:rsidP="009673C2">
      <w:pPr>
        <w:spacing w:beforeAutospacing="1" w:after="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i/>
          <w:iCs/>
          <w:sz w:val="21"/>
          <w:szCs w:val="21"/>
          <w:lang w:eastAsia="pt-BR"/>
        </w:rPr>
        <w:t>a) envio pela mandatária e homologação pelo concedente da Síntese do Projeto Aprovado -SPA quando o objeto do instrumento envolver a execução de obras e serviços e engenharia enquadrados nos incisos II e III do art. 3º desta Portaria; e</w:t>
      </w:r>
    </w:p>
    <w:p w:rsidR="009673C2" w:rsidRPr="009673C2" w:rsidRDefault="009673C2" w:rsidP="009673C2">
      <w:pPr>
        <w:spacing w:beforeAutospacing="1" w:after="0" w:line="420" w:lineRule="atLeast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i/>
          <w:iCs/>
          <w:sz w:val="21"/>
          <w:szCs w:val="21"/>
          <w:lang w:eastAsia="pt-BR"/>
        </w:rPr>
        <w:t>b) </w:t>
      </w:r>
      <w:r w:rsidRPr="009673C2">
        <w:rPr>
          <w:rFonts w:ascii="Helvetica" w:eastAsia="Times New Roman" w:hAnsi="Helvetica" w:cs="Helvetica"/>
          <w:b/>
          <w:bCs/>
          <w:i/>
          <w:iCs/>
          <w:sz w:val="21"/>
          <w:szCs w:val="21"/>
          <w:lang w:eastAsia="pt-BR"/>
        </w:rPr>
        <w:t>conclusão da análise técnica e aceite do processo licitatório pelo concedente</w:t>
      </w:r>
      <w:r w:rsidRPr="009673C2">
        <w:rPr>
          <w:rFonts w:ascii="Helvetica" w:eastAsia="Times New Roman" w:hAnsi="Helvetica" w:cs="Helvetica"/>
          <w:i/>
          <w:iCs/>
          <w:sz w:val="21"/>
          <w:szCs w:val="21"/>
          <w:lang w:eastAsia="pt-BR"/>
        </w:rPr>
        <w:t> ou mandatária; "</w:t>
      </w:r>
    </w:p>
    <w:p w:rsidR="009673C2" w:rsidRPr="009673C2" w:rsidRDefault="009673C2" w:rsidP="009673C2">
      <w:pPr>
        <w:spacing w:beforeAutospacing="1" w:after="0" w:line="420" w:lineRule="atLeast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t> </w:t>
      </w: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Brasília, 06 de junho de 2018.</w:t>
      </w:r>
    </w:p>
    <w:p w:rsidR="009673C2" w:rsidRPr="009673C2" w:rsidRDefault="009673C2" w:rsidP="009673C2">
      <w:pPr>
        <w:spacing w:before="100" w:beforeAutospacing="1" w:after="150" w:line="420" w:lineRule="atLeast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sz w:val="21"/>
          <w:szCs w:val="21"/>
          <w:lang w:eastAsia="pt-BR"/>
        </w:rPr>
        <w:lastRenderedPageBreak/>
        <w:t> </w:t>
      </w:r>
    </w:p>
    <w:p w:rsidR="009673C2" w:rsidRPr="009673C2" w:rsidRDefault="009673C2" w:rsidP="009673C2">
      <w:pPr>
        <w:spacing w:beforeAutospacing="1" w:after="0" w:line="420" w:lineRule="atLeast"/>
        <w:jc w:val="center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Ministério do Planejamento, Desenvolvimento e Gestão</w:t>
      </w:r>
    </w:p>
    <w:p w:rsidR="009673C2" w:rsidRPr="009673C2" w:rsidRDefault="009673C2" w:rsidP="009673C2">
      <w:pPr>
        <w:spacing w:beforeAutospacing="1" w:after="0" w:line="420" w:lineRule="atLeast"/>
        <w:jc w:val="center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Secretaria de Gestão</w:t>
      </w:r>
    </w:p>
    <w:p w:rsidR="009673C2" w:rsidRPr="009673C2" w:rsidRDefault="009673C2" w:rsidP="009673C2">
      <w:pPr>
        <w:spacing w:beforeAutospacing="1" w:after="0" w:line="420" w:lineRule="atLeast"/>
        <w:jc w:val="center"/>
        <w:textAlignment w:val="baseline"/>
        <w:rPr>
          <w:rFonts w:ascii="Helvetica" w:eastAsia="Times New Roman" w:hAnsi="Helvetica" w:cs="Helvetica"/>
          <w:sz w:val="21"/>
          <w:szCs w:val="21"/>
          <w:lang w:eastAsia="pt-BR"/>
        </w:rPr>
      </w:pPr>
      <w:r w:rsidRPr="009673C2">
        <w:rPr>
          <w:rFonts w:ascii="Helvetica" w:eastAsia="Times New Roman" w:hAnsi="Helvetica" w:cs="Helvetica"/>
          <w:b/>
          <w:bCs/>
          <w:sz w:val="21"/>
          <w:szCs w:val="21"/>
          <w:lang w:eastAsia="pt-BR"/>
        </w:rPr>
        <w:t>Departamento de Transferências Voluntárias​</w:t>
      </w:r>
    </w:p>
    <w:p w:rsidR="00CE243D" w:rsidRDefault="009673C2" w:rsidP="009673C2">
      <w:pPr>
        <w:spacing w:after="0" w:line="240" w:lineRule="auto"/>
      </w:pPr>
      <w:r w:rsidRPr="009673C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bookmarkStart w:id="0" w:name="_GoBack"/>
      <w:bookmarkEnd w:id="0"/>
    </w:p>
    <w:sectPr w:rsidR="00CE24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4D7C41"/>
    <w:multiLevelType w:val="multilevel"/>
    <w:tmpl w:val="15A47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3C2"/>
    <w:rsid w:val="009673C2"/>
    <w:rsid w:val="00CE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5B61E-296C-4DDC-BE09-FCA2B51F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9673C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7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9673C2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9673C2"/>
    <w:rPr>
      <w:color w:val="0000FF"/>
      <w:u w:val="single"/>
    </w:rPr>
  </w:style>
  <w:style w:type="paragraph" w:styleId="SemEspaamento">
    <w:name w:val="No Spacing"/>
    <w:uiPriority w:val="1"/>
    <w:qFormat/>
    <w:rsid w:val="009673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7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gu.gov.br/page/download/index/id/382644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803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2018-06-06T18:43:00Z</dcterms:created>
  <dcterms:modified xsi:type="dcterms:W3CDTF">2018-06-06T18:45:00Z</dcterms:modified>
</cp:coreProperties>
</file>