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AE4" w:rsidRPr="00215AE4" w:rsidRDefault="00215AE4" w:rsidP="00215AE4">
      <w:pPr>
        <w:spacing w:after="150" w:line="264" w:lineRule="atLeast"/>
        <w:outlineLvl w:val="0"/>
        <w:rPr>
          <w:rFonts w:ascii="Helvetica" w:eastAsia="Times New Roman" w:hAnsi="Helvetica" w:cs="Helvetica"/>
          <w:b/>
          <w:bCs/>
          <w:color w:val="444444"/>
          <w:kern w:val="36"/>
          <w:sz w:val="32"/>
          <w:szCs w:val="32"/>
          <w:lang w:eastAsia="pt-BR"/>
        </w:rPr>
      </w:pPr>
      <w:r w:rsidRPr="00215AE4">
        <w:rPr>
          <w:rFonts w:ascii="Helvetica" w:eastAsia="Times New Roman" w:hAnsi="Helvetica" w:cs="Helvetica"/>
          <w:b/>
          <w:bCs/>
          <w:color w:val="444444"/>
          <w:kern w:val="36"/>
          <w:sz w:val="32"/>
          <w:szCs w:val="32"/>
          <w:lang w:eastAsia="pt-BR"/>
        </w:rPr>
        <w:t xml:space="preserve">RESOLUÇÃO Nº 2, DE </w:t>
      </w:r>
      <w:proofErr w:type="gramStart"/>
      <w:r w:rsidRPr="00215AE4">
        <w:rPr>
          <w:rFonts w:ascii="Helvetica" w:eastAsia="Times New Roman" w:hAnsi="Helvetica" w:cs="Helvetica"/>
          <w:b/>
          <w:bCs/>
          <w:color w:val="444444"/>
          <w:kern w:val="36"/>
          <w:sz w:val="32"/>
          <w:szCs w:val="32"/>
          <w:lang w:eastAsia="pt-BR"/>
        </w:rPr>
        <w:t>5</w:t>
      </w:r>
      <w:proofErr w:type="gramEnd"/>
      <w:r w:rsidRPr="00215AE4">
        <w:rPr>
          <w:rFonts w:ascii="Helvetica" w:eastAsia="Times New Roman" w:hAnsi="Helvetica" w:cs="Helvetica"/>
          <w:b/>
          <w:bCs/>
          <w:color w:val="444444"/>
          <w:kern w:val="36"/>
          <w:sz w:val="32"/>
          <w:szCs w:val="32"/>
          <w:lang w:eastAsia="pt-BR"/>
        </w:rPr>
        <w:t xml:space="preserve"> DE SETEMBRO DE 2017</w:t>
      </w:r>
    </w:p>
    <w:p w:rsidR="00215AE4" w:rsidRPr="00215AE4" w:rsidRDefault="00215AE4" w:rsidP="00215AE4">
      <w:pPr>
        <w:spacing w:after="225" w:line="240" w:lineRule="auto"/>
        <w:jc w:val="center"/>
        <w:rPr>
          <w:rFonts w:ascii="Arial" w:eastAsia="Times New Roman" w:hAnsi="Arial" w:cs="Arial"/>
          <w:color w:val="000000"/>
          <w:sz w:val="18"/>
          <w:szCs w:val="18"/>
          <w:bdr w:val="none" w:sz="0" w:space="0" w:color="auto" w:frame="1"/>
          <w:shd w:val="clear" w:color="auto" w:fill="FFFFFF"/>
          <w:lang w:eastAsia="pt-BR"/>
        </w:rPr>
      </w:pPr>
      <w:r w:rsidRPr="00215AE4">
        <w:rPr>
          <w:rFonts w:ascii="Arial" w:eastAsia="Times New Roman" w:hAnsi="Arial" w:cs="Arial"/>
          <w:color w:val="000000"/>
          <w:sz w:val="18"/>
          <w:szCs w:val="18"/>
          <w:bdr w:val="none" w:sz="0" w:space="0" w:color="auto" w:frame="1"/>
          <w:shd w:val="clear" w:color="auto" w:fill="FFFFFF"/>
          <w:lang w:eastAsia="pt-BR"/>
        </w:rPr>
        <w:t xml:space="preserve">MINISTÉRIO DO PLANEJAMENTO, DESENVOLVIMENTO E </w:t>
      </w:r>
      <w:proofErr w:type="gramStart"/>
      <w:r w:rsidRPr="00215AE4">
        <w:rPr>
          <w:rFonts w:ascii="Arial" w:eastAsia="Times New Roman" w:hAnsi="Arial" w:cs="Arial"/>
          <w:color w:val="000000"/>
          <w:sz w:val="18"/>
          <w:szCs w:val="18"/>
          <w:bdr w:val="none" w:sz="0" w:space="0" w:color="auto" w:frame="1"/>
          <w:shd w:val="clear" w:color="auto" w:fill="FFFFFF"/>
          <w:lang w:eastAsia="pt-BR"/>
        </w:rPr>
        <w:t>GESTÃO</w:t>
      </w:r>
      <w:proofErr w:type="gramEnd"/>
    </w:p>
    <w:p w:rsidR="00215AE4" w:rsidRPr="00215AE4" w:rsidRDefault="00215AE4" w:rsidP="00215AE4">
      <w:pPr>
        <w:spacing w:after="225" w:line="240" w:lineRule="auto"/>
        <w:jc w:val="center"/>
        <w:rPr>
          <w:rFonts w:ascii="Arial" w:eastAsia="Times New Roman" w:hAnsi="Arial" w:cs="Arial"/>
          <w:color w:val="000000"/>
          <w:sz w:val="18"/>
          <w:szCs w:val="18"/>
          <w:bdr w:val="none" w:sz="0" w:space="0" w:color="auto" w:frame="1"/>
          <w:shd w:val="clear" w:color="auto" w:fill="FFFFFF"/>
          <w:lang w:eastAsia="pt-BR"/>
        </w:rPr>
      </w:pPr>
      <w:r w:rsidRPr="00215AE4">
        <w:rPr>
          <w:rFonts w:ascii="Arial" w:eastAsia="Times New Roman" w:hAnsi="Arial" w:cs="Arial"/>
          <w:color w:val="000000"/>
          <w:sz w:val="18"/>
          <w:szCs w:val="18"/>
          <w:bdr w:val="none" w:sz="0" w:space="0" w:color="auto" w:frame="1"/>
          <w:shd w:val="clear" w:color="auto" w:fill="FFFFFF"/>
          <w:lang w:eastAsia="pt-BR"/>
        </w:rPr>
        <w:t>COMISSÃO DE FINANCIAMENTOS EXTERNOS</w:t>
      </w:r>
    </w:p>
    <w:p w:rsidR="00215AE4" w:rsidRPr="00215AE4" w:rsidRDefault="00215AE4" w:rsidP="00215AE4">
      <w:pPr>
        <w:spacing w:after="225" w:line="240" w:lineRule="auto"/>
        <w:jc w:val="center"/>
        <w:rPr>
          <w:rFonts w:ascii="Arial" w:eastAsia="Times New Roman" w:hAnsi="Arial" w:cs="Arial"/>
          <w:color w:val="000000"/>
          <w:sz w:val="18"/>
          <w:szCs w:val="18"/>
          <w:bdr w:val="none" w:sz="0" w:space="0" w:color="auto" w:frame="1"/>
          <w:shd w:val="clear" w:color="auto" w:fill="FFFFFF"/>
          <w:lang w:eastAsia="pt-BR"/>
        </w:rPr>
      </w:pPr>
      <w:r w:rsidRPr="00215AE4">
        <w:rPr>
          <w:rFonts w:ascii="Arial" w:eastAsia="Times New Roman" w:hAnsi="Arial" w:cs="Arial"/>
          <w:color w:val="000000"/>
          <w:sz w:val="18"/>
          <w:szCs w:val="18"/>
          <w:bdr w:val="none" w:sz="0" w:space="0" w:color="auto" w:frame="1"/>
          <w:shd w:val="clear" w:color="auto" w:fill="FFFFFF"/>
          <w:lang w:eastAsia="pt-BR"/>
        </w:rPr>
        <w:t>DOU de 11/09/2017 (nº 174, Seção 1, pág. 39</w:t>
      </w:r>
      <w:proofErr w:type="gramStart"/>
      <w:r w:rsidRPr="00215AE4">
        <w:rPr>
          <w:rFonts w:ascii="Arial" w:eastAsia="Times New Roman" w:hAnsi="Arial" w:cs="Arial"/>
          <w:color w:val="000000"/>
          <w:sz w:val="18"/>
          <w:szCs w:val="18"/>
          <w:bdr w:val="none" w:sz="0" w:space="0" w:color="auto" w:frame="1"/>
          <w:shd w:val="clear" w:color="auto" w:fill="FFFFFF"/>
          <w:lang w:eastAsia="pt-BR"/>
        </w:rPr>
        <w:t>)</w:t>
      </w:r>
      <w:proofErr w:type="gramEnd"/>
    </w:p>
    <w:p w:rsidR="00215AE4" w:rsidRPr="00215AE4" w:rsidRDefault="00215AE4" w:rsidP="00215AE4">
      <w:pPr>
        <w:spacing w:after="225" w:line="240" w:lineRule="auto"/>
        <w:rPr>
          <w:rFonts w:ascii="Arial" w:eastAsia="Times New Roman" w:hAnsi="Arial" w:cs="Arial"/>
          <w:color w:val="000000"/>
          <w:szCs w:val="18"/>
          <w:bdr w:val="none" w:sz="0" w:space="0" w:color="auto" w:frame="1"/>
          <w:shd w:val="clear" w:color="auto" w:fill="FFFFFF"/>
          <w:lang w:eastAsia="pt-BR"/>
        </w:rPr>
      </w:pPr>
      <w:r w:rsidRPr="00215AE4">
        <w:rPr>
          <w:rFonts w:ascii="Arial" w:eastAsia="Times New Roman" w:hAnsi="Arial" w:cs="Arial"/>
          <w:color w:val="000000"/>
          <w:szCs w:val="18"/>
          <w:bdr w:val="none" w:sz="0" w:space="0" w:color="auto" w:frame="1"/>
          <w:shd w:val="clear" w:color="auto" w:fill="FFFFFF"/>
          <w:lang w:eastAsia="pt-BR"/>
        </w:rPr>
        <w:t>Dispõe sobre os critérios considerados pela Comissão de Financiamentos Externos - COFIEX, com relação aos pleitos de operação de crédito externo de interesse de Estados, Distrito Federal e Municípios, com garantia da União.</w:t>
      </w:r>
    </w:p>
    <w:p w:rsidR="00215AE4" w:rsidRPr="00215AE4" w:rsidRDefault="00215AE4" w:rsidP="00215AE4">
      <w:pPr>
        <w:spacing w:after="225" w:line="240" w:lineRule="auto"/>
        <w:rPr>
          <w:rFonts w:ascii="Arial" w:eastAsia="Times New Roman" w:hAnsi="Arial" w:cs="Arial"/>
          <w:color w:val="333333"/>
          <w:szCs w:val="18"/>
          <w:bdr w:val="none" w:sz="0" w:space="0" w:color="auto" w:frame="1"/>
          <w:shd w:val="clear" w:color="auto" w:fill="FFFFFF"/>
          <w:lang w:eastAsia="pt-BR"/>
        </w:rPr>
      </w:pPr>
      <w:r w:rsidRPr="00215AE4">
        <w:rPr>
          <w:rFonts w:ascii="Arial" w:eastAsia="Times New Roman" w:hAnsi="Arial" w:cs="Arial"/>
          <w:color w:val="333333"/>
          <w:szCs w:val="18"/>
          <w:bdr w:val="none" w:sz="0" w:space="0" w:color="auto" w:frame="1"/>
          <w:shd w:val="clear" w:color="auto" w:fill="FFFFFF"/>
          <w:lang w:eastAsia="pt-BR"/>
        </w:rPr>
        <w:t xml:space="preserve">A COFIEX, no uso das atribuições que lhe são conferidas pelo art. 7º, do Decreto nº 9.075, de </w:t>
      </w:r>
      <w:proofErr w:type="gramStart"/>
      <w:r w:rsidRPr="00215AE4">
        <w:rPr>
          <w:rFonts w:ascii="Arial" w:eastAsia="Times New Roman" w:hAnsi="Arial" w:cs="Arial"/>
          <w:color w:val="333333"/>
          <w:szCs w:val="18"/>
          <w:bdr w:val="none" w:sz="0" w:space="0" w:color="auto" w:frame="1"/>
          <w:shd w:val="clear" w:color="auto" w:fill="FFFFFF"/>
          <w:lang w:eastAsia="pt-BR"/>
        </w:rPr>
        <w:t>6</w:t>
      </w:r>
      <w:proofErr w:type="gramEnd"/>
      <w:r w:rsidRPr="00215AE4">
        <w:rPr>
          <w:rFonts w:ascii="Arial" w:eastAsia="Times New Roman" w:hAnsi="Arial" w:cs="Arial"/>
          <w:color w:val="333333"/>
          <w:szCs w:val="18"/>
          <w:bdr w:val="none" w:sz="0" w:space="0" w:color="auto" w:frame="1"/>
          <w:shd w:val="clear" w:color="auto" w:fill="FFFFFF"/>
          <w:lang w:eastAsia="pt-BR"/>
        </w:rPr>
        <w:t xml:space="preserve"> de junho de 2017, resolve:</w:t>
      </w:r>
    </w:p>
    <w:p w:rsidR="00215AE4" w:rsidRPr="00215AE4" w:rsidRDefault="00215AE4" w:rsidP="00215AE4">
      <w:pPr>
        <w:spacing w:after="0" w:line="240" w:lineRule="auto"/>
        <w:rPr>
          <w:rFonts w:ascii="Arial" w:eastAsia="Times New Roman" w:hAnsi="Arial" w:cs="Arial"/>
          <w:color w:val="333333"/>
          <w:sz w:val="24"/>
          <w:szCs w:val="18"/>
          <w:bdr w:val="none" w:sz="0" w:space="0" w:color="auto" w:frame="1"/>
          <w:shd w:val="clear" w:color="auto" w:fill="FFFFFF"/>
          <w:lang w:eastAsia="pt-BR"/>
        </w:rPr>
      </w:pPr>
      <w:r w:rsidRPr="00215AE4">
        <w:rPr>
          <w:rFonts w:ascii="Arial" w:eastAsia="Times New Roman" w:hAnsi="Arial" w:cs="Arial"/>
          <w:color w:val="333333"/>
          <w:sz w:val="24"/>
          <w:szCs w:val="18"/>
          <w:bdr w:val="none" w:sz="0" w:space="0" w:color="auto" w:frame="1"/>
          <w:lang w:eastAsia="pt-BR"/>
        </w:rPr>
        <w:t>Art. 1º - Os pleitos de operação de crédito externo de interesse dos Municípios, de suas respectivas administrações diretas, autarquias, fundações ou empresas dependentes somente serão examinados pela Comissão se houver garantia da União ou financiamento de organismo internacional ou de agência governamental estrangeira, quando atenderem aos seguintes critérios:</w:t>
      </w:r>
    </w:p>
    <w:p w:rsidR="00215AE4" w:rsidRPr="00215AE4" w:rsidRDefault="00215AE4" w:rsidP="00215AE4">
      <w:pPr>
        <w:spacing w:after="0" w:line="240" w:lineRule="auto"/>
        <w:rPr>
          <w:rFonts w:ascii="Arial" w:eastAsia="Times New Roman" w:hAnsi="Arial" w:cs="Arial"/>
          <w:color w:val="333333"/>
          <w:sz w:val="20"/>
          <w:szCs w:val="18"/>
          <w:bdr w:val="none" w:sz="0" w:space="0" w:color="auto" w:frame="1"/>
          <w:shd w:val="clear" w:color="auto" w:fill="FFFFFF"/>
          <w:lang w:eastAsia="pt-BR"/>
        </w:rPr>
      </w:pPr>
      <w:r w:rsidRPr="00215AE4">
        <w:rPr>
          <w:rFonts w:ascii="Arial" w:eastAsia="Times New Roman" w:hAnsi="Arial" w:cs="Arial"/>
          <w:b/>
          <w:i/>
          <w:color w:val="333333"/>
          <w:sz w:val="24"/>
          <w:szCs w:val="18"/>
          <w:bdr w:val="none" w:sz="0" w:space="0" w:color="auto" w:frame="1"/>
          <w:lang w:eastAsia="pt-BR"/>
        </w:rPr>
        <w:t xml:space="preserve">I - população superior a cem mil (100.000) habitantes, de acordo com informação atualizada fornecida pelo IBGE, com margem de flexibilidade de 10% sobre a população divulgada; </w:t>
      </w:r>
      <w:proofErr w:type="gramStart"/>
      <w:r w:rsidRPr="00215AE4">
        <w:rPr>
          <w:rFonts w:ascii="Arial" w:eastAsia="Times New Roman" w:hAnsi="Arial" w:cs="Arial"/>
          <w:color w:val="333333"/>
          <w:sz w:val="20"/>
          <w:szCs w:val="18"/>
          <w:bdr w:val="none" w:sz="0" w:space="0" w:color="auto" w:frame="1"/>
          <w:lang w:eastAsia="pt-BR"/>
        </w:rPr>
        <w:t>e</w:t>
      </w:r>
      <w:proofErr w:type="gramEnd"/>
    </w:p>
    <w:p w:rsidR="00215AE4" w:rsidRPr="00215AE4" w:rsidRDefault="00215AE4" w:rsidP="00215AE4">
      <w:pPr>
        <w:spacing w:after="0" w:line="240" w:lineRule="auto"/>
        <w:jc w:val="both"/>
        <w:rPr>
          <w:rFonts w:ascii="Arial" w:eastAsia="Times New Roman" w:hAnsi="Arial" w:cs="Arial"/>
          <w:color w:val="333333"/>
          <w:sz w:val="20"/>
          <w:szCs w:val="18"/>
          <w:bdr w:val="none" w:sz="0" w:space="0" w:color="auto" w:frame="1"/>
          <w:shd w:val="clear" w:color="auto" w:fill="FFFFFF"/>
          <w:lang w:eastAsia="pt-BR"/>
        </w:rPr>
      </w:pPr>
      <w:r w:rsidRPr="00215AE4">
        <w:rPr>
          <w:rFonts w:ascii="Arial" w:eastAsia="Times New Roman" w:hAnsi="Arial" w:cs="Arial"/>
          <w:color w:val="333333"/>
          <w:sz w:val="20"/>
          <w:szCs w:val="18"/>
          <w:bdr w:val="none" w:sz="0" w:space="0" w:color="auto" w:frame="1"/>
          <w:lang w:eastAsia="pt-BR"/>
        </w:rPr>
        <w:t>II - previsão de contrapartida de pelo menos 20% do valor total do projeto ou programa a ser financiado.</w:t>
      </w:r>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0" w:name="1"/>
      <w:r w:rsidRPr="00215AE4">
        <w:rPr>
          <w:rFonts w:ascii="Arial" w:eastAsia="Times New Roman" w:hAnsi="Arial" w:cs="Arial"/>
          <w:color w:val="333333"/>
          <w:sz w:val="20"/>
          <w:szCs w:val="18"/>
          <w:bdr w:val="none" w:sz="0" w:space="0" w:color="auto" w:frame="1"/>
          <w:lang w:eastAsia="pt-BR"/>
        </w:rPr>
        <w:t xml:space="preserve">Parágrafo único - A contrapartida será proveniente de receitas tributárias previstas nos artigos 156, 158 e </w:t>
      </w:r>
      <w:r w:rsidRPr="00215AE4">
        <w:rPr>
          <w:rFonts w:ascii="Arial" w:eastAsia="Times New Roman" w:hAnsi="Arial" w:cs="Arial"/>
          <w:color w:val="333333"/>
          <w:sz w:val="18"/>
          <w:szCs w:val="18"/>
          <w:bdr w:val="none" w:sz="0" w:space="0" w:color="auto" w:frame="1"/>
          <w:lang w:eastAsia="pt-BR"/>
        </w:rPr>
        <w:t xml:space="preserve">159, </w:t>
      </w:r>
      <w:proofErr w:type="gramStart"/>
      <w:r w:rsidRPr="00215AE4">
        <w:rPr>
          <w:rFonts w:ascii="Arial" w:eastAsia="Times New Roman" w:hAnsi="Arial" w:cs="Arial"/>
          <w:color w:val="333333"/>
          <w:sz w:val="18"/>
          <w:szCs w:val="18"/>
          <w:bdr w:val="none" w:sz="0" w:space="0" w:color="auto" w:frame="1"/>
          <w:lang w:eastAsia="pt-BR"/>
        </w:rPr>
        <w:t>inciso I, (b), da Constituição Federal</w:t>
      </w:r>
      <w:proofErr w:type="gramEnd"/>
      <w:r w:rsidRPr="00215AE4">
        <w:rPr>
          <w:rFonts w:ascii="Arial" w:eastAsia="Times New Roman" w:hAnsi="Arial" w:cs="Arial"/>
          <w:color w:val="333333"/>
          <w:sz w:val="18"/>
          <w:szCs w:val="18"/>
          <w:bdr w:val="none" w:sz="0" w:space="0" w:color="auto" w:frame="1"/>
          <w:lang w:eastAsia="pt-BR"/>
        </w:rPr>
        <w:t>.</w:t>
      </w:r>
      <w:bookmarkEnd w:id="0"/>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 xml:space="preserve">Art. 2º - Os pleitos de operação de crédito externo de interesse dos Estados, do Distrito Federal, de suas respectivas administrações diretas, autarquias, fundações ou empresas dependentes somente serão examinados pela Comissão se houver garantia da União ou financiamento de organismo internacional ou de agência governamental estrangeira, quando previrem </w:t>
      </w:r>
      <w:bookmarkStart w:id="1" w:name="_GoBack"/>
      <w:bookmarkEnd w:id="1"/>
      <w:r w:rsidRPr="00215AE4">
        <w:rPr>
          <w:rFonts w:ascii="Arial" w:eastAsia="Times New Roman" w:hAnsi="Arial" w:cs="Arial"/>
          <w:color w:val="333333"/>
          <w:sz w:val="18"/>
          <w:szCs w:val="18"/>
          <w:bdr w:val="none" w:sz="0" w:space="0" w:color="auto" w:frame="1"/>
          <w:lang w:eastAsia="pt-BR"/>
        </w:rPr>
        <w:t>contrapartida de pelo menos 20% do valor total do projeto ou programa a ser financiado.</w:t>
      </w:r>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 xml:space="preserve">§ 1º - A contrapartida será proveniente de receitas tributárias previstas nos artigos 155, 157 e 159, </w:t>
      </w:r>
      <w:proofErr w:type="gramStart"/>
      <w:r w:rsidRPr="00215AE4">
        <w:rPr>
          <w:rFonts w:ascii="Arial" w:eastAsia="Times New Roman" w:hAnsi="Arial" w:cs="Arial"/>
          <w:color w:val="333333"/>
          <w:sz w:val="18"/>
          <w:szCs w:val="18"/>
          <w:bdr w:val="none" w:sz="0" w:space="0" w:color="auto" w:frame="1"/>
          <w:lang w:eastAsia="pt-BR"/>
        </w:rPr>
        <w:t>inciso I, (a), da Constituição Federal</w:t>
      </w:r>
      <w:proofErr w:type="gramEnd"/>
      <w:r w:rsidRPr="00215AE4">
        <w:rPr>
          <w:rFonts w:ascii="Arial" w:eastAsia="Times New Roman" w:hAnsi="Arial" w:cs="Arial"/>
          <w:color w:val="333333"/>
          <w:sz w:val="18"/>
          <w:szCs w:val="18"/>
          <w:bdr w:val="none" w:sz="0" w:space="0" w:color="auto" w:frame="1"/>
          <w:lang w:eastAsia="pt-BR"/>
        </w:rPr>
        <w:t>.</w:t>
      </w:r>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2" w:name="2"/>
      <w:r w:rsidRPr="00215AE4">
        <w:rPr>
          <w:rFonts w:ascii="Arial" w:eastAsia="Times New Roman" w:hAnsi="Arial" w:cs="Arial"/>
          <w:color w:val="333333"/>
          <w:sz w:val="18"/>
          <w:szCs w:val="18"/>
          <w:bdr w:val="none" w:sz="0" w:space="0" w:color="auto" w:frame="1"/>
          <w:lang w:eastAsia="pt-BR"/>
        </w:rPr>
        <w:t>§ 2º - No caso do Distrito Federal a contrapartida poderá também ser proveniente das receitas previstas no parágrafo único do artigo 1º.</w:t>
      </w:r>
      <w:bookmarkEnd w:id="2"/>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Art. 3º - Não será exigido o requisito de contrapartida a que se referem os artigos anteriores, nas seguintes operações:</w:t>
      </w:r>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I - de caráter comercial para a aquisição de bens e contratação de serviços;</w:t>
      </w:r>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II - de reestruturação e recomposição do principal de dívidas;</w:t>
      </w:r>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III - de financiamento de projetos de investimento para a melhoria da administração das receitas e da gestão fiscal, orçamentária, financeira e patrimonial, de acordo com o previsto no Parágrafo 3º do art. 7º, da Resolução nº 43/2001 do Senado Federal;</w:t>
      </w:r>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 xml:space="preserve">IV - de empréstimos na modalidade de ajuste setorial, de rápido desembolso, condicionados a políticas de desenvolvimento para apoiar reformas estruturais; </w:t>
      </w:r>
      <w:proofErr w:type="gramStart"/>
      <w:r w:rsidRPr="00215AE4">
        <w:rPr>
          <w:rFonts w:ascii="Arial" w:eastAsia="Times New Roman" w:hAnsi="Arial" w:cs="Arial"/>
          <w:color w:val="333333"/>
          <w:sz w:val="18"/>
          <w:szCs w:val="18"/>
          <w:bdr w:val="none" w:sz="0" w:space="0" w:color="auto" w:frame="1"/>
          <w:lang w:eastAsia="pt-BR"/>
        </w:rPr>
        <w:t>e</w:t>
      </w:r>
      <w:proofErr w:type="gramEnd"/>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3" w:name="3"/>
      <w:r w:rsidRPr="00215AE4">
        <w:rPr>
          <w:rFonts w:ascii="Arial" w:eastAsia="Times New Roman" w:hAnsi="Arial" w:cs="Arial"/>
          <w:color w:val="333333"/>
          <w:sz w:val="18"/>
          <w:szCs w:val="18"/>
          <w:bdr w:val="none" w:sz="0" w:space="0" w:color="auto" w:frame="1"/>
          <w:lang w:eastAsia="pt-BR"/>
        </w:rPr>
        <w:t xml:space="preserve">V - de empréstimos na modalidade de desembolsos condicionados ao cumprimento de metas e de execução </w:t>
      </w:r>
      <w:proofErr w:type="gramStart"/>
      <w:r w:rsidRPr="00215AE4">
        <w:rPr>
          <w:rFonts w:ascii="Arial" w:eastAsia="Times New Roman" w:hAnsi="Arial" w:cs="Arial"/>
          <w:color w:val="333333"/>
          <w:sz w:val="18"/>
          <w:szCs w:val="18"/>
          <w:bdr w:val="none" w:sz="0" w:space="0" w:color="auto" w:frame="1"/>
          <w:lang w:eastAsia="pt-BR"/>
        </w:rPr>
        <w:t>financeira, previamente estabelecidas</w:t>
      </w:r>
      <w:proofErr w:type="gramEnd"/>
      <w:r w:rsidRPr="00215AE4">
        <w:rPr>
          <w:rFonts w:ascii="Arial" w:eastAsia="Times New Roman" w:hAnsi="Arial" w:cs="Arial"/>
          <w:color w:val="333333"/>
          <w:sz w:val="18"/>
          <w:szCs w:val="18"/>
          <w:bdr w:val="none" w:sz="0" w:space="0" w:color="auto" w:frame="1"/>
          <w:lang w:eastAsia="pt-BR"/>
        </w:rPr>
        <w:t>.</w:t>
      </w:r>
      <w:bookmarkEnd w:id="3"/>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4" w:name="4"/>
      <w:r w:rsidRPr="00215AE4">
        <w:rPr>
          <w:rFonts w:ascii="Arial" w:eastAsia="Times New Roman" w:hAnsi="Arial" w:cs="Arial"/>
          <w:color w:val="333333"/>
          <w:sz w:val="18"/>
          <w:szCs w:val="18"/>
          <w:bdr w:val="none" w:sz="0" w:space="0" w:color="auto" w:frame="1"/>
          <w:lang w:eastAsia="pt-BR"/>
        </w:rPr>
        <w:t xml:space="preserve">Art. 4º - Não poderão compor </w:t>
      </w:r>
      <w:proofErr w:type="gramStart"/>
      <w:r w:rsidRPr="00215AE4">
        <w:rPr>
          <w:rFonts w:ascii="Arial" w:eastAsia="Times New Roman" w:hAnsi="Arial" w:cs="Arial"/>
          <w:color w:val="333333"/>
          <w:sz w:val="18"/>
          <w:szCs w:val="18"/>
          <w:bdr w:val="none" w:sz="0" w:space="0" w:color="auto" w:frame="1"/>
          <w:lang w:eastAsia="pt-BR"/>
        </w:rPr>
        <w:t>a contrapartida gastos com juros</w:t>
      </w:r>
      <w:proofErr w:type="gramEnd"/>
      <w:r w:rsidRPr="00215AE4">
        <w:rPr>
          <w:rFonts w:ascii="Arial" w:eastAsia="Times New Roman" w:hAnsi="Arial" w:cs="Arial"/>
          <w:color w:val="333333"/>
          <w:sz w:val="18"/>
          <w:szCs w:val="18"/>
          <w:bdr w:val="none" w:sz="0" w:space="0" w:color="auto" w:frame="1"/>
          <w:lang w:eastAsia="pt-BR"/>
        </w:rPr>
        <w:t>, comissões ou outros encargos decorrentes do financiamento.</w:t>
      </w:r>
      <w:bookmarkEnd w:id="4"/>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Art. 5º - Poderá ser admitida a utilização de terrenos a título de contrapartida, desde que vinculados à execução do projeto ou programa.</w:t>
      </w:r>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5" w:name="5"/>
      <w:r w:rsidRPr="00215AE4">
        <w:rPr>
          <w:rFonts w:ascii="Arial" w:eastAsia="Times New Roman" w:hAnsi="Arial" w:cs="Arial"/>
          <w:color w:val="333333"/>
          <w:sz w:val="18"/>
          <w:szCs w:val="18"/>
          <w:bdr w:val="none" w:sz="0" w:space="0" w:color="auto" w:frame="1"/>
          <w:lang w:eastAsia="pt-BR"/>
        </w:rPr>
        <w:t>Parágrafo único - A avaliação dos terrenos deverá ser feita por avaliador independente e apresentada à instituição financeira na preparação técnica do projeto ou programa.</w:t>
      </w:r>
      <w:bookmarkEnd w:id="5"/>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Art. 6º - Os efeitos desta Resolução poderão se estender, a pedido do proponente, às operações de crédito externo cujos contratos ainda não tenham sido negociados com a instituição financeira.</w:t>
      </w:r>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6" w:name="6"/>
      <w:r w:rsidRPr="00215AE4">
        <w:rPr>
          <w:rFonts w:ascii="Arial" w:eastAsia="Times New Roman" w:hAnsi="Arial" w:cs="Arial"/>
          <w:color w:val="333333"/>
          <w:sz w:val="18"/>
          <w:szCs w:val="18"/>
          <w:bdr w:val="none" w:sz="0" w:space="0" w:color="auto" w:frame="1"/>
          <w:lang w:eastAsia="pt-BR"/>
        </w:rPr>
        <w:t>Parágrafo Único - Desde que não haja modificações no objeto e no montante do financiamento aprovado pela COFIEX, caberá ao Presidente da COFIEX, mediante resolução, aprovar a nova matriz de financiamento solicitada pelo proponente.</w:t>
      </w:r>
      <w:bookmarkEnd w:id="6"/>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7" w:name="7"/>
      <w:r w:rsidRPr="00215AE4">
        <w:rPr>
          <w:rFonts w:ascii="Arial" w:eastAsia="Times New Roman" w:hAnsi="Arial" w:cs="Arial"/>
          <w:color w:val="333333"/>
          <w:sz w:val="18"/>
          <w:szCs w:val="18"/>
          <w:bdr w:val="none" w:sz="0" w:space="0" w:color="auto" w:frame="1"/>
          <w:lang w:eastAsia="pt-BR"/>
        </w:rPr>
        <w:t>Art. 7º - Os casos omissos serão solucionados pela COFIEX ou por normativa complementar.</w:t>
      </w:r>
      <w:bookmarkEnd w:id="7"/>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bookmarkStart w:id="8" w:name="8"/>
      <w:r w:rsidRPr="00215AE4">
        <w:rPr>
          <w:rFonts w:ascii="Arial" w:eastAsia="Times New Roman" w:hAnsi="Arial" w:cs="Arial"/>
          <w:color w:val="333333"/>
          <w:sz w:val="18"/>
          <w:szCs w:val="18"/>
          <w:bdr w:val="none" w:sz="0" w:space="0" w:color="auto" w:frame="1"/>
          <w:lang w:eastAsia="pt-BR"/>
        </w:rPr>
        <w:t>Art. 8º - Esta Resolução passa a vigorar na data da sua publicação.</w:t>
      </w:r>
      <w:bookmarkEnd w:id="8"/>
    </w:p>
    <w:p w:rsidR="00215AE4" w:rsidRPr="00215AE4" w:rsidRDefault="00215AE4" w:rsidP="00215AE4">
      <w:pPr>
        <w:spacing w:after="0" w:line="240" w:lineRule="auto"/>
        <w:jc w:val="both"/>
        <w:rPr>
          <w:rFonts w:ascii="Arial" w:eastAsia="Times New Roman" w:hAnsi="Arial" w:cs="Arial"/>
          <w:color w:val="333333"/>
          <w:sz w:val="18"/>
          <w:szCs w:val="18"/>
          <w:bdr w:val="none" w:sz="0" w:space="0" w:color="auto" w:frame="1"/>
          <w:shd w:val="clear" w:color="auto" w:fill="FFFFFF"/>
          <w:lang w:eastAsia="pt-BR"/>
        </w:rPr>
      </w:pPr>
      <w:r w:rsidRPr="00215AE4">
        <w:rPr>
          <w:rFonts w:ascii="Arial" w:eastAsia="Times New Roman" w:hAnsi="Arial" w:cs="Arial"/>
          <w:color w:val="333333"/>
          <w:sz w:val="18"/>
          <w:szCs w:val="18"/>
          <w:bdr w:val="none" w:sz="0" w:space="0" w:color="auto" w:frame="1"/>
          <w:lang w:eastAsia="pt-BR"/>
        </w:rPr>
        <w:t>Art. 9º - Fica revogada a Resolução COFIEX nº 294, de 1º de setembro de 2006.</w:t>
      </w:r>
    </w:p>
    <w:p w:rsidR="00215AE4" w:rsidRPr="00215AE4" w:rsidRDefault="00215AE4" w:rsidP="00215AE4">
      <w:pPr>
        <w:spacing w:after="0" w:line="240" w:lineRule="auto"/>
        <w:rPr>
          <w:rFonts w:ascii="Arial" w:eastAsia="Times New Roman" w:hAnsi="Arial" w:cs="Arial"/>
          <w:color w:val="000000"/>
          <w:sz w:val="18"/>
          <w:szCs w:val="18"/>
          <w:bdr w:val="none" w:sz="0" w:space="0" w:color="auto" w:frame="1"/>
          <w:shd w:val="clear" w:color="auto" w:fill="FFFFFF"/>
          <w:lang w:eastAsia="pt-BR"/>
        </w:rPr>
      </w:pPr>
      <w:bookmarkStart w:id="9" w:name="9"/>
      <w:r w:rsidRPr="00215AE4">
        <w:rPr>
          <w:rFonts w:ascii="Arial" w:eastAsia="Times New Roman" w:hAnsi="Arial" w:cs="Arial"/>
          <w:color w:val="333333"/>
          <w:sz w:val="18"/>
          <w:szCs w:val="18"/>
          <w:bdr w:val="none" w:sz="0" w:space="0" w:color="auto" w:frame="1"/>
          <w:lang w:eastAsia="pt-BR"/>
        </w:rPr>
        <w:t>ESTEVES PEDRO COLNAGO JÚNIOR Presidente da COFIEX</w:t>
      </w:r>
      <w:bookmarkEnd w:id="9"/>
    </w:p>
    <w:p w:rsidR="005E417B" w:rsidRDefault="005E417B"/>
    <w:sectPr w:rsidR="005E41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E4"/>
    <w:rsid w:val="00215AE4"/>
    <w:rsid w:val="005E41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15A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5AE4"/>
    <w:rPr>
      <w:rFonts w:ascii="Times New Roman" w:eastAsia="Times New Roman" w:hAnsi="Times New Roman" w:cs="Times New Roman"/>
      <w:b/>
      <w:bCs/>
      <w:kern w:val="36"/>
      <w:sz w:val="48"/>
      <w:szCs w:val="48"/>
      <w:lang w:eastAsia="pt-BR"/>
    </w:rPr>
  </w:style>
  <w:style w:type="paragraph" w:customStyle="1" w:styleId="orgao">
    <w:name w:val="orgao"/>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iario">
    <w:name w:val="diario"/>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
    <w:name w:val="assinatura"/>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215A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15AE4"/>
    <w:rPr>
      <w:rFonts w:ascii="Times New Roman" w:eastAsia="Times New Roman" w:hAnsi="Times New Roman" w:cs="Times New Roman"/>
      <w:b/>
      <w:bCs/>
      <w:kern w:val="36"/>
      <w:sz w:val="48"/>
      <w:szCs w:val="48"/>
      <w:lang w:eastAsia="pt-BR"/>
    </w:rPr>
  </w:style>
  <w:style w:type="paragraph" w:customStyle="1" w:styleId="orgao">
    <w:name w:val="orgao"/>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iario">
    <w:name w:val="diario"/>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2">
    <w:name w:val="parag2"/>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
    <w:name w:val="assinatura"/>
    <w:basedOn w:val="Normal"/>
    <w:rsid w:val="00215A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96551">
      <w:bodyDiv w:val="1"/>
      <w:marLeft w:val="0"/>
      <w:marRight w:val="0"/>
      <w:marTop w:val="0"/>
      <w:marBottom w:val="0"/>
      <w:divBdr>
        <w:top w:val="none" w:sz="0" w:space="0" w:color="auto"/>
        <w:left w:val="none" w:sz="0" w:space="0" w:color="auto"/>
        <w:bottom w:val="none" w:sz="0" w:space="0" w:color="auto"/>
        <w:right w:val="none" w:sz="0" w:space="0" w:color="auto"/>
      </w:divBdr>
      <w:divsChild>
        <w:div w:id="756637597">
          <w:marLeft w:val="0"/>
          <w:marRight w:val="0"/>
          <w:marTop w:val="0"/>
          <w:marBottom w:val="0"/>
          <w:divBdr>
            <w:top w:val="none" w:sz="0" w:space="0" w:color="auto"/>
            <w:left w:val="none" w:sz="0" w:space="0" w:color="auto"/>
            <w:bottom w:val="none" w:sz="0" w:space="0" w:color="auto"/>
            <w:right w:val="none" w:sz="0" w:space="0" w:color="auto"/>
          </w:divBdr>
          <w:divsChild>
            <w:div w:id="914047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Sandro</cp:lastModifiedBy>
  <cp:revision>1</cp:revision>
  <dcterms:created xsi:type="dcterms:W3CDTF">2017-11-30T13:27:00Z</dcterms:created>
  <dcterms:modified xsi:type="dcterms:W3CDTF">2017-11-30T13:32:00Z</dcterms:modified>
</cp:coreProperties>
</file>