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786F" w:rsidRPr="000C786F" w:rsidRDefault="000C786F" w:rsidP="000C786F">
      <w:pPr>
        <w:spacing w:before="100" w:beforeAutospacing="1" w:after="100" w:afterAutospacing="1" w:line="240" w:lineRule="auto"/>
        <w:rPr>
          <w:rFonts w:ascii="Times New Roman" w:eastAsia="Times New Roman" w:hAnsi="Times New Roman" w:cs="Times New Roman"/>
          <w:sz w:val="24"/>
          <w:szCs w:val="24"/>
          <w:lang w:eastAsia="pt-BR"/>
        </w:rPr>
      </w:pPr>
      <w:bookmarkStart w:id="0" w:name="_GoBack"/>
      <w:bookmarkEnd w:id="0"/>
      <w:r w:rsidRPr="000C786F">
        <w:rPr>
          <w:rFonts w:ascii="Times New Roman" w:eastAsia="Times New Roman" w:hAnsi="Times New Roman" w:cs="Times New Roman"/>
          <w:sz w:val="24"/>
          <w:szCs w:val="24"/>
          <w:lang w:eastAsia="pt-BR"/>
        </w:rPr>
        <w:t> </w:t>
      </w:r>
      <w:r w:rsidRPr="000C786F">
        <w:rPr>
          <w:rFonts w:ascii="Times New Roman" w:eastAsia="Times New Roman" w:hAnsi="Times New Roman" w:cs="Times New Roman"/>
          <w:b/>
          <w:bCs/>
          <w:sz w:val="24"/>
          <w:szCs w:val="24"/>
          <w:lang w:eastAsia="pt-BR"/>
        </w:rPr>
        <w:t>PORTARIA INTERMINISTERIAL Nº 424, DE 30 DE DEZEMBRO DE 2016</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Estabelece normas para execução do estabelecido no Decreto nº 6.170, de 25 de julho de 2007, que dispõe sobre as normas relativas às transferências de recursos da União mediante convênios e contratos de repasse, revoga a Portaria Interministerial nº 507/MP/MF/CGU, de 24 de novembro de 2011 e dá outras providências.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Os MINISTROS DE ESTADO DO PLANEJAMENTO, DESENVOLVIMENTO E GESTÃO, Interino, DA FAZENDA e DA TRANSPARÊNCIA, FISCALIZAÇÃO E CONTROLADORIA-GERAL DA UNIÃO, no uso da atribuição que lhes confere o inciso II do parágrafo único do art. 87 da Constituição, e tendo em vista o disposto no art. 18 do Decreto nº 6.170, de 25 de julho de 2007, resolvem:</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TÍTULO 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DAS DISPOSIÇÕES GERAIS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1º Esta Portaria regula os instrumentos de repasse celebrados pelos órgãos e entidades da Administração Pública Federal com órgãos ou entidades públicas ou entidades privadas sem fins lucrativos para a execução de programas, projetos e atividades de interesse recíproco, que envolvam a transferência de recursos financeiros oriundos do Orçamento Fiscal e da Seguridade Social da União.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Para os efeitos desta Portaria, considera-se: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acompanhamento: atividade de monitoramento da execução física das metas, etapas e fases do objeto pactuado nos instrumentos, a ser realizada pelo concedente ou pela mandatária;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beneficiários finais: população diretamente favorecida pelos investimentos;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bens remanescentes: equipamentos e materiais permanentes adquiridos com recursos dos instrumentos necessários à consecução do objeto, mas que não se incorporam a este;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IV - concedente: órgão ou entidade da Administração Pública Federal, direta ou indireta, responsável pela transferência dos recursos, verificação da conformidade financeira, acompanhamento da execução e avaliação do cumprimento do objeto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 - conformidade financeira: aferição da execução financeira do objeto pactuado em relação ao previsto no plano de trabalho e no projeto básico, realizada pelo concedente ou pela mandatária de forma contínua, durante toda a vigência do instrumento, com registro de eventuais impropriedades ou irregularidades no Sistema de Gestão de Convênios e Contratos de Repasse - SICONV;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VI - contrato de repasse: instrumento administrativo, de interesse recíproco, por meio do qual a transferência dos recursos financeiros se processa por intermédio de instituição ou agente financeiro público federal, que atua como mandatário da União;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VII - contrato administrativo de execução ou fornecimento - CTEF: instrumento jurídico que disciplina a execução de obra, fornecimento de bem ou serviço, regulado pela Lei nº 8.666, de 21 de junho de 1993, e demais normas pertinentes à matéria, tendo como contratante o órgão que figura como convenente;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VIII - contrato de prestação de serviços - CPS: instrumento jurídico que regula a prestação de serviços realizados pela mandatária a favor do concedente, que deve conter as atribuições delegadas, as limitações do mandato e a forma de remuneração pelos serviços;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IX - consórcio público: pessoa jurídica formada exclusivamente por entes da Federação, na forma da Lei nº 11.107, de 6 de abril de 2005;</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 - convenente: órgão ou entidade da Administração Pública direta ou indireta, de qualquer esfera de governo, consórcio público ou entidade privada sem fins lucrativos, com a qual a Administração Pública Federal pactua a execução de programas, projetos e atividades de interesse recíproco por meio de convênios ou contratos de repasse;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XI - convênio: instrumento que disciplina a transferência de recursos financeiros de órgãos ou entidades da Administração Pública Federal, direta ou indireta, para órgãos ou entidades da Administração Pública Estadual, Distrital ou Municipal, direta ou indireta, consórcios públicos, ou ainda, entidades privadas sem fins lucrativos, visando à execução de projeto ou atividade de interesse recíproco, em regime de mútua cooperação;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XII - convênio de receita: ajuste em que órgãos e entidades federais figuram como convenentes, recebendo recursos para executar programas estaduais ou municipais, ou os órgãos da administração direta, programas a cargo da entidade da administração indireta, sob regime de mútua cooperação, na forma do § 3º do art. 1º do Decreto nº 6.170, de 2007;</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XIII - estudo de concepção e de alternativas de projeto: peças técnicas utilizadas para descrever as alternativas estudadas e justificar a solução de engenharia adotada, tomando por base aspectos técnicos, econômicos, sociais e ambientais;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XIV - etapa ou fase: divisão existente na execução de uma meta;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XV - fiscalização: atividade que deve ser realizada de modo sistemático pelo convenente e seus prepostos, com a finalidade de verificar o cumprimento das disposições contratuais, técnicas e administrativas em todos os seus aspectos;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XVI - interveniente: órgão ou entidade da Administração Pública direta ou indireta de qualquer esfera de governo, ou entidade privada que participa do instrumento para manifestar consentimento ou assumir obrigações em nome próprio;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XVII - instrumentos: convênios e contratos de repasse;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XVIII - mandatárias: instituições financeiras oficiais federais, que celebram e operacionalizam, em nome da União, os instrumentos regulados por 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XIX - meta: parcela quantificável do objeto descrita no plano de trabalho;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 - objeto: produto do instrumento, observados o programa de trabalho e as suas finalidades;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XXI - ordem bancária de transferências voluntárias - OBTV: minuta da ordem bancária de pagamento de despesa dos instrumentos, encaminhada virtualmente pelo SICONV ao Sistema Integrado de Administração Financeira do Governo Federal - SIAFI, mediante autorização do Gestor Financeiro e do Ordenador de Despesa do convenente, ambos previamente cadastrados no SICONV, para posterior envio, pelo próprio SIAFI, à </w:t>
      </w:r>
      <w:r w:rsidRPr="000C786F">
        <w:rPr>
          <w:rFonts w:ascii="Times New Roman" w:eastAsia="Times New Roman" w:hAnsi="Times New Roman" w:cs="Times New Roman"/>
          <w:sz w:val="24"/>
          <w:szCs w:val="24"/>
          <w:lang w:eastAsia="pt-BR"/>
        </w:rPr>
        <w:lastRenderedPageBreak/>
        <w:t>instituição bancária que efetuará o cré- dito na conta corrente do beneficiário final da despesa;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XXII - órgãos de controle: instituições vinculadas aos Poderes Executivo e Legislativo da União, dos Estados, do Distrito Federal e dos Municípios, que possuem designação constitucional para orientar, auditar, fiscalizar e acompanhar a execução dos projetos e atividades de governo nos aspectos de legalidade, eficácia, economicidade e eficiência;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XXIII - padronização do objeto: estabelecimento de modelos ou critérios a serem seguidos nos instrumentos que visem ao atingimento de objetivo similar, definidos pelo concedente, especialmente quanto às características do objeto e ao seu custo;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XXIV - plano de trabalho: peça processual integrante dos instrumentos, que evidencia o detalhamento do objeto, da justificativa, dos cronogramas físico e financeiro, do plano de aplicação das despesas, bem como das informações da conta corrente específica, dos partícipes e dos seus representantes.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XXV - prestação de contas financeira: procedimento de acompanhamento sistemático da conformidade financeira, considerando o início e o fim da vigência dos instrumentos;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XXVI - prestação de contas técnica: procedimento de análise dos elementos que comprovam, sob os aspectos técnicos, a execução integral do objeto e o alcance dos resultados previstos nos instrumentos;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XXVII - projeto básico: conjunto de elementos necessários e suficientes, com nível de precisão adequado, para caracterizar a obra ou serviço, ou complexo de obras ou serviços, elaborados com base nas indicações dos estudos técnicos preliminares, que assegurem a viabilidade técnica e o adequado tratamento do impacto ambiental do empreendimento, e que possibilite a avaliação do custo da obra ou serviço de engenharia e a definição dos métodos e do prazo de execução;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XXVIII - proponente: órgão ou entidade pública ou entidade privada sem fins lucrativos que manifeste, por meio de proposta ou plano de trabalho, interesse em celebrar instrumento regulado por 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XXIX - proposta de trabalho: peça processual inicial utilizada para manifestação formal dos órgãos ou entidades públicas ou privadas sem fins lucrativos, interessadas em celebrar os instrumentos regulamentados por esta Portaria, cujo conteúdo contempla a descrição do objeto; a justificativa; a indicação do público alvo; a estimativa dos recursos do concedente e contrapartida e as informações relativas à capacidade técnica e gerencial do proponente.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XXX - reprogramação: procedimento que visa o aceite, pelo concedente ou mandatária, de pequenos ajustes ou adequações no instrumento pactuado, vedada a descaracterização total ou parcial do objeto do contrato.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XXXI - síntese do projeto aprovado - SPA: formulário padronizado contendo os elementos básicos necessários para descrever e quantificar os principais componentes do projeto de engenharia aceito pela mandatária, quando o objeto do instrumento incluir obras e serviços de engenharia;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XXXII - termo aditivo: instrumento que tenha por objetivo a modificação do instrumento já celebrado, vedada a alteração do objeto aprovado;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XXXIII - termo de parceria: instrumento jurídico previsto na Lei nº 9.790, de 23 de março de 1999, para transferência de recursos para entidade privada sem fins lucrativos que possua a qualificação como Organização da Sociedade Civil de Interesse Público - OSCIP;</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XXXIV - termo de referência: documento apresentado quando o objeto do instrumento envolver aquisição de bens ou prestação de serviços, que deverá conter elementos capazes de propiciar a avaliação do custo pela Administração, diante de orçamento detalhado, considerando os preços praticados no mercado da região onde será executado o objeto, a definição dos métodos e o prazo de execução do objeto;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XXXV - unidade executora: órgão ou entidade da Administração Pública, das esferas Estadual, Distrital ou Municipal, sobre o qual pode recair a responsabilidade pela execução dos objetos definidos nos instrumentos de que trata esta Portaria, a critério do convenente, desde que aprovado previamente pelo concedente, devendo ser considerado como partícipe no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A descentralização da execução por meio dos instrumentos dispostos nesta Portaria, somente poderá ser efetivada para entidades públicas ou privadas sem fins lucrativos para execução de objetos relacionados com suas atividades e que disponham de condições técnicas e operacionais para executá-lo.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Os critérios para avaliação das condições técnicas e operacionais para execução, previstos no § 2º deste artigo, serão objeto de regulamentação por meio de instrução normativa do Ministério do Planejamento, Desenvolvimento e Gestão.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Caso a mandatária não detenha capacidade técnica necessária ao regular acompanhamento da aplicação dos recursos transferidos, figurará, no contrato de repasse, na qualidade de interveniente, outra instituição pública ou privada a quem caberá o mencionado acompanhamento.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5º Excepcionalmente as obras e serviços de engenharia iniciadas antes da publicação desta Portaria, poderão, para sua conclusão, ser operacionalizadas por meio de convênios.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6º Os órgãos ou entidades da Administração Pública de qualquer esfera de governo que recebam as transferências de que trata o caput deverão incluí-las em seus orçamentos.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7º A União não está obrigada a celebrar os instrumentos dispostos nesta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8º Na hipótese de o instrumento vir a ser firmado por entidade ou órgão de Estado, do Distrito Federal ou de Município, o ente federado ao qual esteja vinculado ou subordinado deverá participar como interveniente no instrumento a ser celebrado, salvo se o representante legal da entidade ou do órgão tiver competência, conforme as normas locais, para assinar 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9º Os instrumentos referentes a projetos financiados com recursos de origem externa deverão contemplar, no que couber, além do disposto nesta Portaria, os direitos e obrigações constantes dos respectivos acordos de empréstimos ou contribuições financeiras não reembolsáveis celebrados pela República Federativa do Brasil com organismos internacionais, agências governamentais estrangeiras, organizações multilaterais de crédito ou organizações supranacionais.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2º Não se aplicam as exigências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I - aos instrumentos: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celebrados anteriormente à data da sua publicação, devendo ser observadas, neste caso, as prescrições normativas vigentes à época da sua celebração, podendo, todavia, se lhes aplicar o disposto nesta Portaria naquilo que beneficiar a consecução do objeto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que tenham por objeto a delegação de competência ou a autorização a órgãos ou entidades de outras esferas de governo para a execução de atribuições determinadas em lei, regulamento ou regimento interno, com geração de receita compartilhada;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c) homologados pelo Congresso Nacional ou autorizados pelo Senado Federal naquilo em que as disposições dos tratados, acordos e convenções internacionais, específicas, conflitarem com esta Portaria, quando os recursos envolvidos forem integralmente oriundos de fonte externa de financiamento;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a outros casos em que lei específica discipline de forma diversa a transferência de recursos para execução de programas em parceria do Governo Federal com governos estaduais, municipais e do Distrito Federal ou entidades privadas sem fins lucrativos.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às transferências para execução de ações no âmbito do Programa de Aceleração do Crescimento - PAC, regulamentadas pela Lei nº 11.578, de 26 de novembro de 2007, exceto o disposto no Capítulo I do Título I, desta Portaria, no que couber;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IV - aos termos de execução descentralizada.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3º Para efeito desta Portaria ficam estabelecidos os seguintes níveis para fins de celebração, acompanhamento da execução e prestação de contas: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Nível I, para execução de obras e serviços de engenharia com valores de repasse iguais ou superiores a R$ 250.000,00 (duzentos e cinquenta mil reais) e inferiores a R$ 750.000,00 (setecentos e cinquenta mil reais);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Nível II, para execução de obras e serviços de engenharia com valores de repasse iguais ou superiores a R$ 750.000,00 (setecentos e cinquenta mil reais) e inferiores a R$ 5.000.000,00 (cinco milhões de reais);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Nível III, para execução de obras e serviços de engenharia com valores de repasse iguais ou superiores a R$ 5.000.000,00 (cinco milhões de reais);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IV - Nível IV, para execução de custeio ou aquisição de equipamentos com valores de repasse iguais ou superiores a R$ 100.000,00 (cem mil reais) e inferiores a R$ 750.000,00 (setecentos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0C786F">
        <w:rPr>
          <w:rFonts w:ascii="Times New Roman" w:eastAsia="Times New Roman" w:hAnsi="Times New Roman" w:cs="Times New Roman"/>
          <w:sz w:val="24"/>
          <w:szCs w:val="24"/>
          <w:lang w:eastAsia="pt-BR"/>
        </w:rPr>
        <w:t>cinquenta</w:t>
      </w:r>
      <w:proofErr w:type="gramEnd"/>
      <w:r w:rsidRPr="000C786F">
        <w:rPr>
          <w:rFonts w:ascii="Times New Roman" w:eastAsia="Times New Roman" w:hAnsi="Times New Roman" w:cs="Times New Roman"/>
          <w:sz w:val="24"/>
          <w:szCs w:val="24"/>
          <w:lang w:eastAsia="pt-BR"/>
        </w:rPr>
        <w:t xml:space="preserve"> mil reais);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 - Nível V, para execução de custeio ou aquisição de equipamentos com valores de repasse iguais ou superiores a R$ 750.000,00 (setecentos e cinquenta mil reais).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Parágrafo único. Caberá ao Ministério do Planejamento, Desenvolvimento e Gestão - MP, por meio da Comissão Gestora do SICONV, reavaliar quadrienalmente os valores dos níveis definidos no caput deste artigo e, se entender necessário, propor alterações dos limites estabelecidos nesta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Art. 4º Os atos e os procedimentos relativos à formalização, execução, acompanhamento, prestação de contas e informações acerca de tomada de contas especial dos instrumentos e termos de parceria serão realizados no SICONV, aberto à consulta pública, por meio do Portal dos Convênios.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Os atos que, por sua natureza, não possam ser realizados no SICONV, serão nele registrados.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Para a celebração dos instrumentos e demais ajustes listados no caput deste artigo, os órgãos e entidades a que se refere o art. 1º desta Portaria devem estar cadastrados no SICONV.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O convenente deverá manter os documentos relacionados ao instrumento pelo prazo de 10 (dez) anos, contados da data em que foi apresentada a prestação de contas ou do decurso do prazo para a apresentação da prestação de contas.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A movimentação financeira na conta corrente específica do instrumento, deverá ocorrer por meio da funcionalidade do SICONV denominada Ordem Bancária de Transferências Voluntárias - OBTV, em observação ao disposto no parágrafo único do art. 3º do Decreto nº 7.641, de 12 de dezembro de 2011.</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5º Os órgãos e entidades da Administração Pública Federal que pretenderem executar programas, projetos e atividades que envolvam transferências de recursos financeiros oriundos do Orçamento Fiscal e da Seguridade Social da União deverão cadastrar anualmente no SICONV os programas a serem executados de forma descentralizada e, quando couber, critérios para a seleção do convenente.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Os programas de que trata o caput serão divulgados em até 60 (sessenta) dias após a sanção da Lei Orçamentária Anual e deverão conter a descrição, as exigências, os padrões, procedimentos, critérios de elegibilidade e de prioridade, estatísticas e outros elementos que possam auxiliar a avaliação das necessidades locais.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Os critérios de elegibilidade e de prioridade deverão ser estabelecidos de forma objetiva, com base nas diretrizes e objetivos dos respectivos programas, visando atingir melhores resultados na execução do objeto, considerando, entre outros aspectos, a aferição da qualificação técnica e da capacidade operacional do convenente.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O concedente deverá adotar procedimentos claros, objetivos, simplificados e padronizados que orientem os interessados, de modo a facilitar o seu acesso direto aos órgãos da Administração Pública Federal.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A disponibilização dos programas para celebração de instrumentos ou termos de parceria, ocorrerá de acordo com a oportunidade e conveniência do órgão concedente.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DAS DEFINIÇÕES DE COMPETÊNCIAS E RESPONSABILIDADES NO ÂMBITO DAS TRANSFERÊNCIAS DA UNIÃO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6º São competências e responsabilidades do concedente: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gerir os projetos e atividades, mediante: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a) monitoramento e acompanhamento da conformidade física e financeira durante a execução, além da avaliação da execução física e dos resultados;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análise de enquadramento e seleção das propostas apresentadas pelos órgãos ou entidades da Administração Pública, direta ou indireta, de qualquer esfera de governo, consórcio público ou organização da sociedade civil, com vistas à celebração dos instrumentos;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c) transferência dos recursos financeiros para o convenente.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operacionalizar a execução dos projetos e atividades, mediante: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divulgação de atos normativos e orientações aos convenentes;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análise e aceitação da documentação técnica, institucional e jurídica das propostas selecionadas, inclusive a aceitação do projeto básico;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c) celebração dos instrumentos e demais ajustes decorrentes das propostas selecionadas;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d) verificação de realização do procedimento licitatório pelo convenente, atendo-se à documentação no que tange: à contemporaneidade do certame, aos preços do licitante vencedor e sua compatibilidade com os preços de referência, ao respectivo enquadramento do objeto ajustado com o efetivamente licitado e ao fornecimento pelo convenente de declaração expressa firmada por representante legal do órgão ou entidade convenente, ou registro no SICONV que a substitua, atestando o atendimento às disposições legais aplicáveis;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e) comunicação às câmaras municipais e assembleias legislativas da assinatura do termo e da liberação de recursos financeiros, no prazo de 2 (dois) dias úteis, contado da data da liberação,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0C786F">
        <w:rPr>
          <w:rFonts w:ascii="Times New Roman" w:eastAsia="Times New Roman" w:hAnsi="Times New Roman" w:cs="Times New Roman"/>
          <w:sz w:val="24"/>
          <w:szCs w:val="24"/>
          <w:lang w:eastAsia="pt-BR"/>
        </w:rPr>
        <w:t>em</w:t>
      </w:r>
      <w:proofErr w:type="gramEnd"/>
      <w:r w:rsidRPr="000C786F">
        <w:rPr>
          <w:rFonts w:ascii="Times New Roman" w:eastAsia="Times New Roman" w:hAnsi="Times New Roman" w:cs="Times New Roman"/>
          <w:sz w:val="24"/>
          <w:szCs w:val="24"/>
          <w:lang w:eastAsia="pt-BR"/>
        </w:rPr>
        <w:t xml:space="preserve"> conformidade com a Lei nº 9.452, de 20 de março de 1997;</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f) acompanhamento, avaliação e aferição da execução do objeto pactuado, assim como verificação da regular aplicação das parcelas de recursos, condicionando sua liberação ao cumprimento de metas previamente estabelecidas;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g) análise e manifestação acerca da execução física e financeira do objeto pactuado;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h) notificação do convenente, quando não apresentada a prestação de contas dos recursos aplicados ou constatada a má aplicação dos recursos públicos transferidos, e instaurando, se for o caso, a competente Tomada de Contas Especial.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Quando o objeto do instrumento se referir a execução de obras e serviços de engenharia, a União poderá delegar as atribuições contidas nas alíneas constantes do inciso II do caput deste artigo às instituições financeiras oficiais federais mediante celebração de contrato de prestação de serviços - CPS específico, competindo também à mandatária escolhida: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assegurar a fiel observância de seus atos normativos internos e aos expedidos pelo concedente;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II - manter o concedente informado sobre o andamento dos contratos de repasse e encaminhar as informações necessárias ao processo de acompanhamento e avaliação da execução e dos resultados das ações;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permitir o livre acesso do concedente e dos órgãos de controle federais aos dados e documentos gerenciados em decorrência do contrato de prestação de serviços - CPS tratado neste parágrafo.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O acompanhamento da execução dos instrumentos pelo concedente ou instituição mandatária consistirá na aferição da execução do objeto e das suas metas, etapas e fases, conforme pactuado no Plano de Trabalho integrante dos instrumentos, por meio da verificação da compatibilidade entre estes e os efetivamente executados.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Ficam vedadas as reformulações dos projetos básicos das obras e serviços de engenharia aprovados pelo concedente ou pela mandatária.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Ficam vedadas as reprogramações, decorrentes de ajustes ou adequações, nos projetos básicos dos instrumentos enquadrados no inciso I do art. 3º desta Portaria, aprovados pela mandatária.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5º A mandatária deverá verificar a existência de Anotação de Responsabilidade Técnica - ART quando se tratar de obras e serviços de engenharia.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6º O concedente ou a mandatária deverão realizar no SICONV os atos e os procedimentos relativos à formalização, execução, acompanhamento, prestação de contas e informações acerca de tomada de contas especial dos instrumentos, quando couber, ficando responsável pela veracidade das informações registradas.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7º Ao tomar conhecimento de qualquer irregularidade ou ilegalidade, o concedente ou mandatária, dela dará ciência aos órgãos de controle e, havendo fundada suspeita de crime ou de improbidade administrativa, cientificará os Ministérios Públicos Federal e Estadual e a Advocacia-Geral da União.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7º São competências e responsabilidades dos proponentes ou convenentes: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encaminhar ao concedente ou à mandatária suas propostas ou planos de trabalhos, na forma e prazos estabelecidos;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definir por etapa ou fase a forma de execução, direta ou indireta, do objeto ajustado;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elaborar os projetos técnicos relacionados ao objeto pactuado, reunir toda documentação jurídica e institucional necessária à celebração do instrumento, de acordo com os normativos do programa, bem como apresentar documentos de titularidade dominial da área de intervenção, licenças e aprovações de projetos emitidos pelo órgão ambiental competente, órgão ou entidade da esfera municipal, estadual, distrital ou federal e concessionárias de serviços públicos, conforme o caso, e nos termos da legislação aplicável;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IV - executar e fiscalizar os trabalhos necessários à consecução do objeto pactuado no instrumento, observando prazos e custos, designando profissional habilitado no local da intervenção com a respectiva Anotação de Responsabilidade Técnica - ART;</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V - assegurar, na sua integralidade, a qualidade técnica dos projetos e da execução dos produtos e serviços estabelecidos nos instrumentos, em conformidade com as normas brasileiras e os normativos dos programas, ações e atividades, determinando a correção de vícios que possam comprometer a fruição do benefício pela população beneficiária, quando detectados pelo concedente, mandatária ou pelos órgãos de controle;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VI - selecionar as áreas de intervenção e os beneficiários finais em conformidade com as diretrizes estabelecidas pelo concedente ou mandatária, podendo estabelecer outras que busquem refletir situações de vulnerabilidade econômica e social, informando ao concedente ou a mandatária sempre que houver alterações;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VII - realizar, sob sua inteira responsabilidade, sempre que optar pela execução indireta de obras e serviços, o processo licitatório nos termos da Lei nº 8.666, de 1993, e demais normas pertinentes à matéria, assegurando a correção dos procedimentos legais, a suficiência do projeto básico, da planilha orçamentária discriminativa do percentual de Encargos Sociais e de Bonificação e Despesas Indiretas - BDI utilizados, cada qual com o respectivo detalhamento de sua composição, por item de orçamento ou conjunto deles, além da disponibilização da contrapartida, quando for o caso;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VIII - apresentar declaração expressa firmada por representante legal do órgão ou entidade convenente, ou registro no SICONV que a substitua, atestando o atendimento às disposições legais aplicáveis ao procedimento licitatório, observado o disposto no art. 49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IX - exercer, na qualidade de contratante, a fiscalização sobre o contrato administrativo de execução ou fornecimento - CTEF;</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 - estimular a participação dos beneficiários finais na elaboração e implementação do objeto do instrumento, bem como na manutenção do patrimônio gerado por estes investimentos;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XI - no caso dos Estados, do Distrito Federal e dos Municípios, notificar os partidos políticos, os sindicatos de trabalhadores e as entidades empresariais com sede no ente, quando ocorrer a liberação de recursos financeiros, como forma de incrementar o controle social, conforme consagrado pela Lei nº 9.452, de 1997, facultada a notificação por meio eletrônico;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XII - operar, manter e conservar adequadamente o patrimônio público gerado pelos investimentos decorrentes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XIII - prestar contas dos recursos transferidos pelo concedente ou mandatária destinados à consecução do objeto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XIV - fornecer ao concedente ou à mandatária, a qualquer tempo, informações sobre as ações desenvolvidas para viabilizar o acompanhamento e avaliação do processo;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XV - prever no edital de licitação e no CTEF que a responsabilidade pela qualidade das obras, materiais e serviços executados ou fornecidos é da empresa contratada para esta finalidade, inclusive a promoção de readequações, sempre que detectadas impropriedades que possam comprometer a consecução do objeto ajustado;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XVI - realizar no SICONV os atos e os procedimentos relativos à formalização, execução, acompanhamento, prestação de contas e informações acerca de tomada de contas especial dos instrumentos, quando couber;</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XVII - instaurar processo administrativo </w:t>
      </w:r>
      <w:proofErr w:type="spellStart"/>
      <w:r w:rsidRPr="000C786F">
        <w:rPr>
          <w:rFonts w:ascii="Times New Roman" w:eastAsia="Times New Roman" w:hAnsi="Times New Roman" w:cs="Times New Roman"/>
          <w:sz w:val="24"/>
          <w:szCs w:val="24"/>
          <w:lang w:eastAsia="pt-BR"/>
        </w:rPr>
        <w:t>apuratório</w:t>
      </w:r>
      <w:proofErr w:type="spellEnd"/>
      <w:r w:rsidRPr="000C786F">
        <w:rPr>
          <w:rFonts w:ascii="Times New Roman" w:eastAsia="Times New Roman" w:hAnsi="Times New Roman" w:cs="Times New Roman"/>
          <w:sz w:val="24"/>
          <w:szCs w:val="24"/>
          <w:lang w:eastAsia="pt-BR"/>
        </w:rPr>
        <w:t>, inclusive processo administrativo disciplinar, quando constatado o desvio ou malversação de recursos públicos, irregularidade na execução do contrato ou gestão financeira do instrumento, comunicando tal fato ao concedente ou mandatária;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XVIII - registrar no SICONV o extrato do edital de licitação, o preço estimado pela Administração Pública para a execução do serviço e a proposta de preço total ofertada por cada licitante com a sua respectiva inscrição no Cadastro Nacional de Pessoas Jurídicas - CNPJ, o termo de homologação e adjudicação, o extrato do CTEF e seus respectivos aditivos, a Anotação de Responsabilidade Técnica - ART dos projetos, dos executores e da fiscalização de obras, e os boletins de medições;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XIX - manter um canal de comunicação efetivo, ao qual se dará ampla publicidade, para o recebimento pela União de manifestações dos cidadãos relacionadas ao convênio, possibilitando o registro de sugestões, elogios, solicitações, reclamações e denúncias;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 - quando o objeto do instrumento se referir à execução de obras de engenharia, incluir nas placas e adesivos indicativos das obras informação sobre canal para o registro de denúncias, reclamações e elogios, conforme previsto no 'Manual de Uso da Marca do Governo Federal - Obras' da Secretaria de Comunicação Social da Presidência da República.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O descumprimento de quaisquer das obrigações dispostas no caput, sem prejuízo de eventuais sanções que poderão ser aplicadas, imporá ao convenente a prestação de esclarecimentos ao concedente ou à mandatária.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Prestados os esclarecimentos de que trata o § 1º, o concedente ou a mandatária, aceitando-os, fará constar nos autos do processo a justificativa prestada e dará ciência ao Ministério da Transparência, Fiscalização e Controladoria-Geral da União.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Ao tomar conhecimento de qualquer irregularidade ou ilegalidade, o convenente, dela dará ciência aos órgãos de controle e, havendo fundada suspeita de crime ou de improbidade administrativa, cientificará os Ministérios Público Federal e Estadual e a Advocacia Geral da União.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A fiscalização pelo convenente consiste na atividade administrativa realizada de modo sistemático, prevista na Lei nº 8.666, de 1993, com a finalidade de verificar o cumprimento das disposições contratuais, técnicas e administrativas em todos os seus aspectos.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5º Quando o objeto do instrumento envolver a execução de obras e serviços de engenharia, a fiscalização pelo convenente deverá:</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manter profissional ou equipe de fiscalização constituída de profissionais habilitados e com experiência necessária ao acompanhamento e controle das obras e serviços;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II - apresentar ao concedente ou à mandatária declaração de capacidade técnica, indicando o servidor ou servidores que acompanharão a obra ou serviço de engenharia, bem como </w:t>
      </w:r>
      <w:r w:rsidRPr="000C786F">
        <w:rPr>
          <w:rFonts w:ascii="Times New Roman" w:eastAsia="Times New Roman" w:hAnsi="Times New Roman" w:cs="Times New Roman"/>
          <w:sz w:val="24"/>
          <w:szCs w:val="24"/>
          <w:lang w:eastAsia="pt-BR"/>
        </w:rPr>
        <w:lastRenderedPageBreak/>
        <w:t>a Anotação de Responsabilidade Técnica - ART da prestação de serviços de fiscalização a serem realizados;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verificar se os materiais aplicados e os serviços realizados atendem os requisitos de qualidade estabelecidos pelas especificações técnicas dos projetos de engenharia aprovados;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6º O servidor indicado pelo convenente, responsável pelo acompanhamento e fiscalização da obra, deverá assinar e carregar no SICONV o relatório de fiscalização referente a cada medição.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trike/>
          <w:sz w:val="24"/>
          <w:szCs w:val="24"/>
          <w:lang w:eastAsia="pt-BR"/>
        </w:rPr>
        <w:t>§ 7º Quando o objeto do instrumento envolver a execução de obras e serviços de engenharia, fica vedado o aproveitamento de licitação que:</w:t>
      </w:r>
      <w:r w:rsidRPr="000C786F">
        <w:rPr>
          <w:rFonts w:ascii="Times New Roman" w:eastAsia="Times New Roman" w:hAnsi="Times New Roman" w:cs="Times New Roman"/>
          <w:sz w:val="24"/>
          <w:szCs w:val="24"/>
          <w:lang w:eastAsia="pt-BR"/>
        </w:rPr>
        <w:t> (Revogado pela PORTARIA INTERMINISTERIAL Nº 101, DE 20 DE ABRIL DE 2017).</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trike/>
          <w:sz w:val="24"/>
          <w:szCs w:val="24"/>
          <w:lang w:eastAsia="pt-BR"/>
        </w:rPr>
        <w:t>I - utilize projeto de engenharia diferente daquele previamente aprovado e a realização de licitação em desacordo com o estabelecido no projeto básico ou termo de referência aprovado, sob pena de rescisão do instrumento pactuado; e</w:t>
      </w:r>
      <w:r w:rsidRPr="000C786F">
        <w:rPr>
          <w:rFonts w:ascii="Times New Roman" w:eastAsia="Times New Roman" w:hAnsi="Times New Roman" w:cs="Times New Roman"/>
          <w:sz w:val="24"/>
          <w:szCs w:val="24"/>
          <w:lang w:eastAsia="pt-BR"/>
        </w:rPr>
        <w:t> (Revogado pela PORTARIA INTERMINISTERIAL Nº 101, DE 20 DE ABRIL DE 2017).</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trike/>
          <w:sz w:val="24"/>
          <w:szCs w:val="24"/>
          <w:lang w:eastAsia="pt-BR"/>
        </w:rPr>
        <w:t>II - tenha sido publicada em data anterior ao aceite do projeto básico de engenharia pela mandatária.</w:t>
      </w:r>
      <w:r w:rsidRPr="000C786F">
        <w:rPr>
          <w:rFonts w:ascii="Times New Roman" w:eastAsia="Times New Roman" w:hAnsi="Times New Roman" w:cs="Times New Roman"/>
          <w:sz w:val="24"/>
          <w:szCs w:val="24"/>
          <w:lang w:eastAsia="pt-BR"/>
        </w:rPr>
        <w:t> (Revogado pela PORTARIA INTERMINISTERIAL Nº 101, DE 20 DE ABRIL DE 2017).</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II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DO CHAMAMENTO PÚBLICO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8º Para a celebração dos instrumentos regulados por esta Portaria, o órgão ou entidade da Administração Pública Federal, com vista a selecionar projetos e órgãos, entidades públicas ou entidades privadas sem fins lucrativos que tornem mais eficaz a execução do objeto, poderá realizar chamamento público no SICONV, que deverá conter, no mínimo: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a descrição dos programas a serem executados de forma descentralizada;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os critérios objetivos para a seleção do convenente, com base nas diretrizes e nos objetivos dos respectivos programas.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Deverá ser dada publicidade ao chamamento público, pelo prazo mínimo de 15 (quinze) dias, especialmente por intermédio da divulgação na primeira página do sítio oficial do órgão ou entidade concedente, bem como no Portal dos Convênios.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É obrigatória a realização prévia de chamamento público para a celebração de convênio ou contrato de repasse com entidades privadas sem fins lucrativos, salvo para transferências do Ministério da Saúde destinadas a serviços de saúde integrantes do Sistema Único de Saúde - SUS.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III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DAS VEDAÇÕES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9º É vedada a celebração de: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I - convênios para a execução de obras e serviços de engenharia, exceto nos seguintes casos: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instrumentos celebrados por órgãos da administração indireta que possuam estrutura descentralizada nas unidades da federação para acompanhamento da execução das obras e serviços de engenharia; (Alterado pela PORTARIA INTERMINISTERIAL Nº 101, DE 20 DE ABRIL DE 2017).</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instrumentos cujo objeto seja vinculado à função orçamentária defesa nacional, observado o disposto no art. 8º do Decreto nº 6.170, de 25 de julho de 2007; ou (Alterado pela PORTARIA INTERMINISTERIAL Nº 101, DE 20 DE ABRIL DE 2017).</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c) instrumentos celebrados por órgãos e entidades da administração indireta, que tenham por finalidade legal o desenvolvimento regional nos termos do art. 43 da Constituição Federal, observado o disposto no art. 8º do Decreto nº 6.170, de 25 de julho de 2007. (Alterado pela PORTARIA INTERMINISTERIAL Nº 101, DE 20 DE ABRIL DE 2017).</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convênios para a execução de atividades cujo objeto esteja relacionado ao pagamento de custeio continuado do proponente;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convênios com entidades privadas, exceto com entidades filantrópicas e sem fins lucrativos nos termos do § 1º do art. 199 da Constituição Federal;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IV - instrumentos para a execução de obras e serviços de engenharia com valor de repasse inferior a R$ 250.000,00 (duzentos e cinquenta mil reais);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 - instrumentos para a execução de despesas de custeio ou para aquisição de equipamentos com valor de repasse inferior a R$ 100.000,00 (cem mil reais);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VI - qualquer instrumento regulado por 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entre órgãos e entidades da Administração Pública federal, casos em que deverão ser firmados termos de execução descentralizada;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com órgão ou entidade, de direito público ou privado, que esteja inadimplente nas suas obrigações em outros instrumentos celebrados com órgãos ou entidades da Administração Pública Federal, exceto aos instrumentos decorrentes de emendas parlamentares individuais nos termos do § 13 do art. 166 da Constituição Federal, ou irregular em qualquer das exigências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c) com pessoas físicas ou pessoas jurídicas de direito privado com fins lucrativos, ainda que sejam estas últimas integrantes da administração indireta, no caso das entidades que exploram atividade econômica;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d) visando à realização de serviços ou execução de obras a serem custeadas, ainda que apenas parcialmente, com recursos externos, sem a prévia contratação da operação de crédito externo;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e) com entidades públicas ou privadas sem fins lucrativos cujo objeto social não se relacione às características do programa ou que não disponham de condições técnicas para executar o objeto proposto;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f) com entidades privadas sem fins lucrativos, cujo corpo de dirigentes contenha pessoas que tiveram, nos últimos cinco anos, atos julgados irregulares por decisão definitiva do Tribunal de Contas da União, em decorrência das situações previstas no art. 16, inciso III, da Lei nº 8.443, de 16 de julho de 1992;</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VII - qualquer modalidade regulada por esta Portaria com entidades privadas sem fins lucrativos que tenham, em suas relações anteriores com a União, incorrido em pelo menos uma das seguintes condutas: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omissão no dever de prestar contas;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descumprimento injustificado na execução do objeto dos instrumentos ou termos de parceria pactuados;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c) desvio de finalidade na aplicação dos recursos transferidos;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d) ocorrência de </w:t>
      </w:r>
      <w:proofErr w:type="spellStart"/>
      <w:r w:rsidRPr="000C786F">
        <w:rPr>
          <w:rFonts w:ascii="Times New Roman" w:eastAsia="Times New Roman" w:hAnsi="Times New Roman" w:cs="Times New Roman"/>
          <w:sz w:val="24"/>
          <w:szCs w:val="24"/>
          <w:lang w:eastAsia="pt-BR"/>
        </w:rPr>
        <w:t>dano</w:t>
      </w:r>
      <w:proofErr w:type="spellEnd"/>
      <w:r w:rsidRPr="000C786F">
        <w:rPr>
          <w:rFonts w:ascii="Times New Roman" w:eastAsia="Times New Roman" w:hAnsi="Times New Roman" w:cs="Times New Roman"/>
          <w:sz w:val="24"/>
          <w:szCs w:val="24"/>
          <w:lang w:eastAsia="pt-BR"/>
        </w:rPr>
        <w:t xml:space="preserve"> ao Erário; ou</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e) prática de outros atos ilícitos na execução dos instrumentos ou termos de parceria pactuados;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VIII - instrumentos com estabelecimentos cadastrados como filial no CNPJ.</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Para fins de alcance dos limites estabelecidos nos incisos IV e V do caput, é permitido o estabelecimento de consórcio entre os órgãos e entidades da Administração Pública direta e indireta dos Estados, Distrito Federal e Municípios.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O órgão e a entidade concedente procederão, segundo normas próprias e sob sua exclusiva responsabilidade, às inclusões no Cadastro Informativo de Créditos não Quitados do Setor Público Federal - CADIN, de pessoas físicas ou jurídicas que se enquadrem na hipótese prevista na alínea "b" do inciso VI do caput, observando-se as normas vigentes a respeito desse cadastro, em especial a Lei n° 10.522, de 19 de julho de 2002.</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Os valores relativos à tarifa de serviços da mandatária, correspondentes aos serviços para operacionalização da execução dos projetos e atividades estabelecidos no inciso II do caput do art. 6º desta Portaria, para fins de cálculo e apropriações contábeis dos valores transferidos, compõem o valor da transferência da União a que se referem os incisos IV e V do caput deste artigo.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Tarifas adicionais, bem como acréscimos de atualização monetária ou encargos relativos a tarifas, a que a mandatária venha a fazer jus por força das condições pactuadas nos contratos de prestação de serviços firmados com a Administração Federal, deverão constar de categoria de programação específica ou correr à conta das dotações destinadas às Transferências financeiras para órgãos e entidades públicas e privadas sem fins lucrativas.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5º Para fins do disposto na alínea "c" do inciso VI do caput, compreende-se como entidades da administração indireta que desenvolvem atividade econômica em sentido estrito aquelas que executam atividades em regime de concorrência ou que tenham como objetivo distribuir lucros aos seus acionistas.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 6º No caso do § 4º, caberá à entidade proponente demonstrar que não possui finalidade lucrativa nos termos acima expostos.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7º Os órgãos e entidades da Administração Pública Federal, deverão encerrar em até 24 (vinte e quatro) meses, os convênios vigentes cujo objeto esteja relacionado ao pagamento de custeio continuado do proponente.</w:t>
      </w:r>
    </w:p>
    <w:p w:rsidR="000C786F" w:rsidRPr="000C786F" w:rsidRDefault="000C786F" w:rsidP="000C786F">
      <w:pPr>
        <w:spacing w:before="100" w:beforeAutospacing="1" w:after="100" w:afterAutospacing="1" w:line="240" w:lineRule="auto"/>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8º Quando o objeto do instrumento envolver a execução de obras e serviços de engenharia, fica vedado o aproveitamento de licitação que: (Alterado pela PORTARIA INTERMINISTERIAL Nº 101, DE 20 DE ABRIL DE 2017).</w:t>
      </w:r>
    </w:p>
    <w:p w:rsidR="000C786F" w:rsidRPr="000C786F" w:rsidRDefault="000C786F" w:rsidP="000C786F">
      <w:pPr>
        <w:spacing w:before="100" w:beforeAutospacing="1" w:after="100" w:afterAutospacing="1" w:line="240" w:lineRule="auto"/>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utilize projeto de engenharia diferente daquele previa mente aprovado e a realização de licitação em desacordo com o estabelecido no projeto básico ou termo de referência aprovado, sob pena de rescisão do instrumento pactuado; e (Alterado pela PORTARIA INTERMINISTERIAL Nº 101, DE 20 DE ABRIL DE 2017).</w:t>
      </w:r>
    </w:p>
    <w:p w:rsidR="000C786F" w:rsidRPr="000C786F" w:rsidRDefault="000C786F" w:rsidP="000C786F">
      <w:pPr>
        <w:spacing w:before="100" w:beforeAutospacing="1" w:after="100" w:afterAutospacing="1" w:line="240" w:lineRule="auto"/>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tenha sido publicada em data anterior ao aceite do projeto básico de engenharia pela mandatária." (NR) (Incluído pela PORTARIA INTERMINISTERIAL Nº 101, DE 20 DE ABRIL DE 2017).</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IV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 PLURIANUALIDADE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Art. 10. Nos instrumentos regulados por esta Portaria, cuja duração ultrapasse um exercício financeiro, indicar-se-á o crédito e respectivo empenho para atender à despesa no exercício em curso, bem como cada parcela da despesa relativa à parte a ser executada em exercício futuro, mediante </w:t>
      </w:r>
      <w:proofErr w:type="spellStart"/>
      <w:r w:rsidRPr="000C786F">
        <w:rPr>
          <w:rFonts w:ascii="Times New Roman" w:eastAsia="Times New Roman" w:hAnsi="Times New Roman" w:cs="Times New Roman"/>
          <w:sz w:val="24"/>
          <w:szCs w:val="24"/>
          <w:lang w:eastAsia="pt-BR"/>
        </w:rPr>
        <w:t>apostilamento</w:t>
      </w:r>
      <w:proofErr w:type="spellEnd"/>
      <w:r w:rsidRPr="000C786F">
        <w:rPr>
          <w:rFonts w:ascii="Times New Roman" w:eastAsia="Times New Roman" w:hAnsi="Times New Roman" w:cs="Times New Roman"/>
          <w:sz w:val="24"/>
          <w:szCs w:val="24"/>
          <w:lang w:eastAsia="pt-BR"/>
        </w:rPr>
        <w:t>.</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Parágrafo único. A previsão de execução de créditos orçamentários em exercício futuros, a que se refere o caput acarretará a responsabilidade do concedente incluir em suas propostas orçamentárias dos exercícios seguintes a dotação necessária à execução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DO CONSÓRCIO PÚBLICO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11. Os órgãos e entidades da Administração Pública Federal darão preferência às transferências voluntárias para Estados, Distrito Federal e Municípios cujas ações sejam desenvolvidas por intermédio de consórcios públicos, constituídos segundo o disposto na Lei nº 11.107, de 2005.</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12. A celebração do instrumento com consórcio público para a transferência de recursos da União está condicionada ao atendimento, pelos entes federativos consorciados, das exigências legais aplicáveis, sendo vedada sua celebração caso exista alguma irregularidade por parte de qualquer dos entes consorciados.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13. Os Estados, o Distrito Federal e os Municípios poderão executar o objeto do instrumento celebrado com a União por meio de consórcio público a que estejam associados.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Parágrafo único. Para efeito do disposto no caput, o instrumento poderá indicar o consórcio público como responsável pela execução, sem prejuízo das responsabilidades dos convenentes.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TÍTULO II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DO CADASTRAMENTO, DA PROPOSTA DE TRABALHO, DA CONTRAPARTIDA, DO PLANO DE TRABALHO E DO PROJETO BÁSICO E TERMO DE REFERÊNCIA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DO CADASTRAMENTO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14. Os órgãos ou entidades públicas ou privadas sem fins lucrativos que pretendam celebrar os instrumentos regulamentados por esta Portaria ou termos de parceria com a Administração Pública Federal deverão realizar cadastramento prévio no SICONV.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O cadastramento prévio no SICONV poderá ser realizado em qualquer terminal de acesso à internet e permitirá o acesso ao Sistema e a operacionalização de todas as etapas e fases dos instrumentos regulados por 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O cadastramento conterá, no mínimo, as seguintes informações: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razão social, número de inscrição no Cadastro Nacional de Pessoas Jurídicas - CNPJ, endereço, telefone e endereço eletrônico;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relação nominal dos dirigentes, com endereço, telefone, endereço eletrônico, número e órgão expedidor da carteira de identidade e Cadastro de Pessoas Físicas - CPF.</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Os órgãos ou entidades públicas ou privadas sem fins lucrativos são responsáveis pelas informações inseridas no cadastramento e deverão atualizá-las sempre que houver modificação ou solicitação do próprio Sistema.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O cadastro no SICONV dos órgãos ou entidades públicas ou privadas sem fins lucrativos que não atualizarem ou confirmarem as informações, na forma do § 3º deste artigo, ficará com status de pendente e impossibilitará a celebração de novos instrumentos até a regularização do cadastro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II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 PROPOSTA DE TRABALHO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15. Para apresentar proposta de trabalho, o interessado deverá estar cadastrado no SICONV.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16. O proponente cadastrado manifestará seu interesse em celebrar os instrumentos regulados por esta Portaria mediante apresentação de proposta de trabalho no SICONV, em conformidade com o programa e com as diretrizes disponíveis no Sistema, que conterá, no mínimo: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descrição do objeto a ser executado;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II - justificativa contendo a caracterização dos interesses recíprocos, a relação entre a proposta apresentada e os objetivos e diretrizes do programa federal, e a indicação do público alvo, do problema a ser resolvido e dos resultados esperados;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estimativa dos recursos financeiros, discriminando o repasse a ser realizado pelo concedente ou mandatária e a contrapartida prevista para o proponente, especificando o valor de cada parcela e do montante de todos os recursos, na forma estabelecida em lei;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IV - previsão de prazo para a execução;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 - informações relativas à capacidade técnica e gerencial do proponente para execução do objeto.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Parágrafo único. A descrição do objeto deverá ser realizada de forma concisa, se possível padronizada, e deverá estar em conformidade com os objetivos e diretrizes do programa que irá recepcionar a proposta de trabalho.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17. O concedente analisará a proposta de trabalho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no caso da aceitação: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realizará o pré-empenho, que será vinculado à proposta e só poderá ser alterado por intermédio do SICONV;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solicitará ao proponente a inclusão do plano de trabalho no SICONV.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no caso de recusa: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registrará o indeferimento no SICONV;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comunicará ao proponente o indeferimento da proposta.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III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 CONTRAPARTIDA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18. A contrapartida será calculada sobre o valor total do objeto e, se financeira, deverá ser depositada na conta bancária específica do instrumento em conformidade com os prazos estabelecidos no cronograma de desembolso.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A contrapartida, a ser aportada pelo convenente, será calculada observados os percentuais e as condições estabelecidas na lei federal anual de diretrizes orçamentárias vigentes à época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A comprovação pelo proponente de que a contrapartida proposta está devidamente assegurada, deverá ocorrer previamente à celebração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A previsão de contrapartida a ser aportada pelos órgãos públicos, exclusivamente financeira, deverá ser comprovada por meio de previsão orçamentária.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Na celebração de instrumentos com entidades privadas sem fins lucrativos, o órgão concedente deverá observar as regras de contrapartida dispostas na lei federal anual de diretrizes orçamentárias.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 5º Os aportes de contrapartida deverão obedecer ao pactuado no plano de trabalho, podendo haver antecipação de parcelas, inteiras ou parte, a critério do convenente.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IV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DO PLANO DE TRABALHO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19. O plano de trabalho, que será avaliado pelo concedente, conterá, no mínimo: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justificativa para a celebração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descrição completa do objeto a ser executado;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descrição das metas a serem atingidas;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IV - definição das etapas ou fases da execução;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 - compatibilidade de custos com o objeto a ser executado;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VI - cronograma de execução do objeto e cronograma de desembolso;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VII - plano de aplicação dos recursos a serem desembolsados pelo concedente e da contrapartida financeira do proponente, se for o caso.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20. O plano de trabalho será analisado quanto à sua viabilidade e adequação aos objetivos do programa e, no caso das entidades privadas sem fins lucrativos, será avaliada sua qualificação técnica e capacidade operacional para gestão do instrumento, de acordo com critérios estabelecidos pelo órgão ou entidade repassador de recursos.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Será comunicada ao proponente qualquer irregularidade ou imprecisão constatadas no plano de trabalho, que deverá ser sanada no prazo estabelecido pelo concedente.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A ausência da manifestação do proponente no prazo estipulado implicará na desistência no prosseguimento do processo.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Os ajustes realizados durante a execução do objeto integrarão o plano de trabalho, desde que submetidos e aprovados previamente pela autoridade competente.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CAPITULO 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DO PROJETO BÁSICO E DO TERMO DE REFERÊNCIA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Art. 21. Nos instrumentos, o projeto básico acompanhado de Anotação de Responsabilidade Técnica - ART, ou o termo de referência, deverão ser apresentados antes da celebração, sendo facultado ao concedente </w:t>
      </w:r>
      <w:proofErr w:type="spellStart"/>
      <w:r w:rsidRPr="000C786F">
        <w:rPr>
          <w:rFonts w:ascii="Times New Roman" w:eastAsia="Times New Roman" w:hAnsi="Times New Roman" w:cs="Times New Roman"/>
          <w:sz w:val="24"/>
          <w:szCs w:val="24"/>
          <w:lang w:eastAsia="pt-BR"/>
        </w:rPr>
        <w:t>exigilos</w:t>
      </w:r>
      <w:proofErr w:type="spellEnd"/>
      <w:r w:rsidRPr="000C786F">
        <w:rPr>
          <w:rFonts w:ascii="Times New Roman" w:eastAsia="Times New Roman" w:hAnsi="Times New Roman" w:cs="Times New Roman"/>
          <w:sz w:val="24"/>
          <w:szCs w:val="24"/>
          <w:lang w:eastAsia="pt-BR"/>
        </w:rPr>
        <w:t xml:space="preserve"> depois, desde que antes da liberação da primeira parcela dos recursos.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O projeto básico ou o termo de referência poderá ser dispensado no caso de padronização do objeto, a critério da autoridade competente do concedente, em despacho fundamentado.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 2º O projeto básico ou o termo de referência deverá ser apresentado no prazo fixado no instrumento, prorrogável uma única vez por igual período, a contar da data da celebração, conforme a complexidade do objeto.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O prazo de que trata o § 2º não poderá ultrapassar 18 (dezoito) meses, incluída a prorrogação, se houver.</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O projeto básico ou o termo de referência será apreciado pelo concedente ou pela mandatária e, se aprovado, integrará o plano de trabalho.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5º Nos casos em que houver divergências de valores entre o plano de trabalho aprovado e o projeto básico ou termo de referência aprovado, os partícipes deverão providenciar as alterações do plano de trabalho e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6º Constatados vícios sanáveis no projeto básico ou no termo de referência, estes serão comunicados ao convenente, que disporá de prazo para saná-los.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7º Caso o projeto básico ou o termo de referência não seja entregue no prazo estabelecido no § 2º ou receba parecer contrário à sua aprovação, proceder-se-á à extinção da proposta ou instrumento, caso este já tenha sido assinado.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8º As despesas referentes ao custo para elaboração do projeto básico ou termo de referência poderão ser custeadas com recursos oriundos do instrumento pactuado, desde que o desembolso do concedente voltado para a elaboração do projeto básico ou termo de referência não seja superior a 5% (cinco por cento) do valor total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9º Quando houver, no plano de trabalho, a previsão de transferência de recursos para a elaboração de projeto básico ou termo de referência, a liberação do montante correspondente ao custo do serviço se dará após a celebração do instrumento, conforme cronograma de liberação pactuado entre as partes." (NR) (Incluído pela PORTARIA INTERMINISTERIAL Nº 101, DE 20 DE ABRIL DE 2017).</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10 Nos casos em que o concedente desembolsar recursos para a elaboração do projeto básico ou termo de referência, a rejeição pelo concedente destas peças, enseja a imediata devolução dos recursos aos cofres da União, sob pena de instauração de tomada de contas especial.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 11 No caso de obras ou serviços de engenharia, a análise final de custos a cargo da mandatária será realizada depois da entrega do orçamento de referência, observado o disposto nos </w:t>
      </w:r>
      <w:proofErr w:type="spellStart"/>
      <w:r w:rsidRPr="000C786F">
        <w:rPr>
          <w:rFonts w:ascii="Times New Roman" w:eastAsia="Times New Roman" w:hAnsi="Times New Roman" w:cs="Times New Roman"/>
          <w:sz w:val="24"/>
          <w:szCs w:val="24"/>
          <w:lang w:eastAsia="pt-BR"/>
        </w:rPr>
        <w:t>arts</w:t>
      </w:r>
      <w:proofErr w:type="spellEnd"/>
      <w:r w:rsidRPr="000C786F">
        <w:rPr>
          <w:rFonts w:ascii="Times New Roman" w:eastAsia="Times New Roman" w:hAnsi="Times New Roman" w:cs="Times New Roman"/>
          <w:sz w:val="24"/>
          <w:szCs w:val="24"/>
          <w:lang w:eastAsia="pt-BR"/>
        </w:rPr>
        <w:t>. 16 a 18 do Decreto nº 7.983, de 8 de abril de 2013, e de visita de campo preliminar.</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12 Previamente à aceitação do projeto básico pela mandatária, para a execução de obras e serviços de engenharia enquadrados no inciso III do art. 3º desta Portaria, o proponente deverá apresentar estudo de alternativas de concepção de projeto, cuja análise pela mandatária é condicionante para a aprovação do projeto básico.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13 O concedente ou a mandatária deverá exigir que o proponente apresente plano de sustentabilidade do empreendimento a ser realizado ou do equipamento a ser adquirido, exceto nos casos em que ficar comprovada a desnecessidade de apresentação do referido plano.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 14 O Ministério do Planejamento, Desenvolvimento e Gestão deverá, por meio de instrução normativa, estabelecer regras e diretrizes de acessibilidade a serem observados nas obras e serviços de engenharia custeados com recursos dos instrumentos regulados por 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TÍTULO III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 CELEBRAÇÃO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DAS CONDIÇÕES PARA A CELEBRAÇÃO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22. São condições para a celebração de instrumentos, a serem cumpridas pelo convenente, conforme previsto na Lei Complementar nº 101, de 4 de maio de 2000, na Lei de Diretrizes Orçamentárias e nas demais normas aplicáveis: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I - exercício da plena competência tributária, relativo à observância dos requisitos constantes do art. 11 da Lei Complementar nº 101, de 2000, com validade até 30 de abril do exercício subsequente, para os Municípios, e até 31 de maio do exercício subsequente, para os Estados e para o Distrito Federal, e comprovada pela inserção, por meio de certificação digital, de declaração do Chefe do Poder Executivo, no Sistema de Informações Contábeis e Fiscais do Setor Público Brasileiro - </w:t>
      </w:r>
      <w:proofErr w:type="spellStart"/>
      <w:r w:rsidRPr="000C786F">
        <w:rPr>
          <w:rFonts w:ascii="Times New Roman" w:eastAsia="Times New Roman" w:hAnsi="Times New Roman" w:cs="Times New Roman"/>
          <w:sz w:val="24"/>
          <w:szCs w:val="24"/>
          <w:lang w:eastAsia="pt-BR"/>
        </w:rPr>
        <w:t>Siconfi</w:t>
      </w:r>
      <w:proofErr w:type="spellEnd"/>
      <w:r w:rsidRPr="000C786F">
        <w:rPr>
          <w:rFonts w:ascii="Times New Roman" w:eastAsia="Times New Roman" w:hAnsi="Times New Roman" w:cs="Times New Roman"/>
          <w:sz w:val="24"/>
          <w:szCs w:val="24"/>
          <w:lang w:eastAsia="pt-BR"/>
        </w:rPr>
        <w:t>, ou sistema que vier a substituí-lo, atestando que instituiu, previu e arrecadou os impostos de competência constitucional do ente da Federação;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regularidade previdenciária, constituída pela observância dos critérios e das regras gerais para a organização e o funcionamento dos regimes próprios de previdência social dos servidores públicos, através da emissão do Certificado de Regularidade Previdenciária - CRP, em atendimento ao disposto no art. 7º da Lei nº 9.717, de 27 de novembro de 1998, e no Decreto nº 3.788, de 11 de abril de 2001, sendo válida no prazo e condições da respectiva certidão;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regularidade quanto a Tributos Federais, a Contribuições Previdenciárias e à Dívida Ativa da União, conforme dados da Certidão Negativa de Débitos relativos a Créditos Tributários Federais e à Dívida Ativa da União de que trata a Portaria PGFN/RFB nº 1.751, de 2 de outubro de 2014, fornecida pelos sistemas da Secretaria da Receita Federal do Brasil -RFB e da Procuradoria-Geral da Fazenda Nacional -PGFN, em atendimento ao disposto na alínea "a" do inciso IV do § 1º do art. 25 da Lei Complementar nº 101, de 2000, no inciso IV do art. 27, no art. 29 e no art. 116, todos da Lei nº 8.666, de 1993, e no § 3º do art. 195 da Constituição Federal, sendo válida a informação no prazo e condições da respectiva certidão;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IV - regularidade perante o Poder Público Federal, conforme consulta ao Cadastro Informativo dos Créditos não Quitados do Setor Público Federal -CADIN, cuja verificação da existência de débitos perante os órgãos e entidades do Poder Público Federal atende o disposto no art. 6º da Lei nº 10.522, de 2002, sendo sua comprovação verificada por meio da informação do cadastro mantido no Sistema de Informações do Banco Central do Brasil - SISBACEN, do Banco Central do Brasil -BACEN, e de acordo com os procedimentos da referida Lei;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V - regularidade quanto a Contribuições para o Fundo de Garantia do Tempo de Serviço - FGTS, conforme dados do Certificado de Regularidade do Fundo de Garantia do Tempo </w:t>
      </w:r>
      <w:r w:rsidRPr="000C786F">
        <w:rPr>
          <w:rFonts w:ascii="Times New Roman" w:eastAsia="Times New Roman" w:hAnsi="Times New Roman" w:cs="Times New Roman"/>
          <w:sz w:val="24"/>
          <w:szCs w:val="24"/>
          <w:lang w:eastAsia="pt-BR"/>
        </w:rPr>
        <w:lastRenderedPageBreak/>
        <w:t xml:space="preserve">de Serviço - CRF/FGTS, fornecido pelo Sistema de Controle da Caixa Econômica Federal - CAIXA, cuja comprovação de regularidade, quanto ao depósito das parcelas devidas ao Fundo, atende ao disposto nos </w:t>
      </w:r>
      <w:proofErr w:type="spellStart"/>
      <w:r w:rsidRPr="000C786F">
        <w:rPr>
          <w:rFonts w:ascii="Times New Roman" w:eastAsia="Times New Roman" w:hAnsi="Times New Roman" w:cs="Times New Roman"/>
          <w:sz w:val="24"/>
          <w:szCs w:val="24"/>
          <w:lang w:eastAsia="pt-BR"/>
        </w:rPr>
        <w:t>arts</w:t>
      </w:r>
      <w:proofErr w:type="spellEnd"/>
      <w:r w:rsidRPr="000C786F">
        <w:rPr>
          <w:rFonts w:ascii="Times New Roman" w:eastAsia="Times New Roman" w:hAnsi="Times New Roman" w:cs="Times New Roman"/>
          <w:sz w:val="24"/>
          <w:szCs w:val="24"/>
          <w:lang w:eastAsia="pt-BR"/>
        </w:rPr>
        <w:t>. 29, inciso IV, e 116 da Lei nº 8.666, de 1993, e art. 25, inciso IV da Lei Complementar nº 101, de 2000, sendo válida no prazo e condições do respectivo certificado;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VI - regularidade quanto à Prestação de Contas de Recursos Federais recebidos anteriormente, mediante consulta: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ao Subsistema Transferências do Sistema de Administração Financeira do Governo Federal - SIAFI, da Secretaria do Tesouro Nacional - STN, para os instrumentos firmados sob a égide da Instrução Normativa STN nº 1, de 15 de janeiro de 1997;</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ao SICONV, para aqueles firmados sob a égide da Portaria Interministerial MP/MF/MCT nº 127, de 2008, da Portaria Interministerial nº 507/MP/MF/CGU, de 24 de novembro de 2011, e sob a égide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VII - regularidade em relação à Adimplência Financeira em Empréstimos e Financiamentos concedidos pela União, e administrados pela Secretaria do Tesouro Nacional - STN, em atendimento ao disposto no art. 25, § 1º, inciso IV, alínea "a", da Lei Complementar nº 101, de 2000, comprovada mediante informação de adimplência prestada pela STN;</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VIII - aplicação mínima de recursos na área da Educação, em atendimento ao disposto no art. 212, da Constituição Federal, e no art. 25, § 1º, inciso IV, alínea "b", da Lei Complementar nº 101, de 2000, e que se constitui na aplicação anual, na manutenção e desenvolvimento do ensino, do percentual mínimo de vinte e cinco por cento da receita resultante de impostos, compreendida a proveniente de transferências, cujos dados do exercício encerrado devem ser fornecidos pelo Ente Federativo ao Fundo Nacional de Desenvolvimento da Educação - FNDE, para processamento pelo Sistema de Informações sobre Orçamentos Públicos em Educação - SIOPE, comprovado por meio do seu extrato, com validade até a apresentação dos dados de um novo exercício, limitado à data de 30 de janeiro do exercício subsequente, ou, na impossibilidade de verificação por meio desse sistema, apresentação de certidão emitida pelo Tribunal de Contas competente, consoante disposto no art. 23 do Decreto nº 6.253, de 13 de novembro de 2007;</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IX - aplicação mínima de recursos na área da Saúde, em atendimento ao disposto no art. 198, § 2º, da Constituição Federal, nos </w:t>
      </w:r>
      <w:proofErr w:type="spellStart"/>
      <w:r w:rsidRPr="000C786F">
        <w:rPr>
          <w:rFonts w:ascii="Times New Roman" w:eastAsia="Times New Roman" w:hAnsi="Times New Roman" w:cs="Times New Roman"/>
          <w:sz w:val="24"/>
          <w:szCs w:val="24"/>
          <w:lang w:eastAsia="pt-BR"/>
        </w:rPr>
        <w:t>arts</w:t>
      </w:r>
      <w:proofErr w:type="spellEnd"/>
      <w:r w:rsidRPr="000C786F">
        <w:rPr>
          <w:rFonts w:ascii="Times New Roman" w:eastAsia="Times New Roman" w:hAnsi="Times New Roman" w:cs="Times New Roman"/>
          <w:sz w:val="24"/>
          <w:szCs w:val="24"/>
          <w:lang w:eastAsia="pt-BR"/>
        </w:rPr>
        <w:t>. 6º e 7º da Lei Complementar nº 141, de 13 de janeiro e 2012, e no art. 25, § 1º, inciso IV, alínea "b", da Lei Complementar nº 101, de 2000, e que se constitui na aplicação anual, em ações e serviços públicos de saúde, dos percentuais mínimos da receita resultante de impostos, compreendida a proveniente de transferências, cujos dados do exercício encerrado devem ser fornecidos pelo Ente Federativo ao Ministério da Saúde - MS, para processamento pelo Sistema de Informações sobre Orçamentos Públicos em Saúde - SIOPS, comprovado por meio do seu extrato, ou, na impossibilidade de verificação por meio desse sistema, apresentação de certidão emitida pelo Tribunal de Contas competente;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X - publicação de todos os Relatórios de Gestão Fiscal - RGF, do exercício em curso e anterior, de cada um dos Poderes e órgãos elencados no art. 20 da Lei Complementar nº 101, de 2000, inclusive as Defensorias Públicas, no prazo de até trinta dias após o encerramento de cada quadrimestre, em atendimento ao disposto nos </w:t>
      </w:r>
      <w:proofErr w:type="spellStart"/>
      <w:r w:rsidRPr="000C786F">
        <w:rPr>
          <w:rFonts w:ascii="Times New Roman" w:eastAsia="Times New Roman" w:hAnsi="Times New Roman" w:cs="Times New Roman"/>
          <w:sz w:val="24"/>
          <w:szCs w:val="24"/>
          <w:lang w:eastAsia="pt-BR"/>
        </w:rPr>
        <w:t>arts</w:t>
      </w:r>
      <w:proofErr w:type="spellEnd"/>
      <w:r w:rsidRPr="000C786F">
        <w:rPr>
          <w:rFonts w:ascii="Times New Roman" w:eastAsia="Times New Roman" w:hAnsi="Times New Roman" w:cs="Times New Roman"/>
          <w:sz w:val="24"/>
          <w:szCs w:val="24"/>
          <w:lang w:eastAsia="pt-BR"/>
        </w:rPr>
        <w:t xml:space="preserve">. 54 e 55, ou semestre, para os entes que cumpram os requisitos e façam a opção prevista no art. 63, </w:t>
      </w:r>
      <w:r w:rsidRPr="000C786F">
        <w:rPr>
          <w:rFonts w:ascii="Times New Roman" w:eastAsia="Times New Roman" w:hAnsi="Times New Roman" w:cs="Times New Roman"/>
          <w:sz w:val="24"/>
          <w:szCs w:val="24"/>
          <w:lang w:eastAsia="pt-BR"/>
        </w:rPr>
        <w:lastRenderedPageBreak/>
        <w:t xml:space="preserve">inciso II, alínea "b", da Lei Complementar nº 101, de 2000, com validade até a data-limite da publicação relativa ao período subsequente, verificada pela apresentação, ao gestor de órgão ou entidade concedente, dos relatórios publicados, ou pela homologação do relatório no Sistema de Informações Contábeis e Fiscais do Setor Público Brasileiro - </w:t>
      </w:r>
      <w:proofErr w:type="spellStart"/>
      <w:r w:rsidRPr="000C786F">
        <w:rPr>
          <w:rFonts w:ascii="Times New Roman" w:eastAsia="Times New Roman" w:hAnsi="Times New Roman" w:cs="Times New Roman"/>
          <w:sz w:val="24"/>
          <w:szCs w:val="24"/>
          <w:lang w:eastAsia="pt-BR"/>
        </w:rPr>
        <w:t>Siconfi</w:t>
      </w:r>
      <w:proofErr w:type="spellEnd"/>
      <w:r w:rsidRPr="000C786F">
        <w:rPr>
          <w:rFonts w:ascii="Times New Roman" w:eastAsia="Times New Roman" w:hAnsi="Times New Roman" w:cs="Times New Roman"/>
          <w:sz w:val="24"/>
          <w:szCs w:val="24"/>
          <w:lang w:eastAsia="pt-BR"/>
        </w:rPr>
        <w:t>, ou sistema que vier a substituí-lo, ou inserção, no mesmo sistema, pelo do Chefe do Poder Executivo, de atestado da publicação do RGF, inclusive em meios eletrônicos de acesso público, de todos os órgãos e poderes do respectivo ente da Federação.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XI - inexistência de vedação ao recebimento de transferência voluntária por descumprimento dos seguintes limites, em atendimento ao disposto no art. 23, § 3º, e art. 25, inciso IV, alínea "c", da Lei Complementar nº 101, de 2000, de cada um dos Poderes e órgãos elencados no art. 20 da mesma Lei Complementar, verificada pela análise do Relatório de Gestão Fiscal - RGF elaborado conforme as orientações previstas no Manual de Demonstrativos Fiscais da Secretaria do Tesouro Nacional, enviado por meio do Sistema de Informações Contábeis e Fiscais do Setor Público Brasileiro - </w:t>
      </w:r>
      <w:proofErr w:type="spellStart"/>
      <w:r w:rsidRPr="000C786F">
        <w:rPr>
          <w:rFonts w:ascii="Times New Roman" w:eastAsia="Times New Roman" w:hAnsi="Times New Roman" w:cs="Times New Roman"/>
          <w:sz w:val="24"/>
          <w:szCs w:val="24"/>
          <w:lang w:eastAsia="pt-BR"/>
        </w:rPr>
        <w:t>Siconfi</w:t>
      </w:r>
      <w:proofErr w:type="spellEnd"/>
      <w:r w:rsidRPr="000C786F">
        <w:rPr>
          <w:rFonts w:ascii="Times New Roman" w:eastAsia="Times New Roman" w:hAnsi="Times New Roman" w:cs="Times New Roman"/>
          <w:sz w:val="24"/>
          <w:szCs w:val="24"/>
          <w:lang w:eastAsia="pt-BR"/>
        </w:rPr>
        <w:t>, ou sistema que vier a substituí-lo, ou mediante declaração do Chefe do Poder Executivo, juntamente com o comprovante de remessa da declaração para o respectivo Tribunal de Contas por meio de recibo do protocolo, aviso de recebimento ou carta registrada, a ser entregue ao gestor do órgão ou entidade concedente, com validade até a data de publicação do RGF subsequente, atestando que os Poderes e órgãos não ultrapassaram os limites: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da despesa total com pessoal constante do anexo do RGF que trata da Despesa com Pessoal;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das dívidas consolidada e mobiliária constante do anexo do RGF que trata da Dívida Consolidada Líquida;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c) das operações de crédito, inclusive por antecipação de receita, constante do anexo do RGF que trata das Operações de Crédito;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d) da inscrição em Restos a Pagar, aplicável para o último ano do mandato, constante do anexo do RGF que trata Disponibilidade de Caixa e dos Restos a Pagar.</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XII - encaminhamento das Contas Anuais, para a consolidação das contas dos entes da Federação, relativas aos 5 últimos exercícios, em atendimento ao disposto no art. 51 da Lei Complementar nº 101, de 2000, por meio de declaração homologada no Sistema de Informações Contábeis e Fiscais do Setor Público Brasileiro - </w:t>
      </w:r>
      <w:proofErr w:type="spellStart"/>
      <w:r w:rsidRPr="000C786F">
        <w:rPr>
          <w:rFonts w:ascii="Times New Roman" w:eastAsia="Times New Roman" w:hAnsi="Times New Roman" w:cs="Times New Roman"/>
          <w:sz w:val="24"/>
          <w:szCs w:val="24"/>
          <w:lang w:eastAsia="pt-BR"/>
        </w:rPr>
        <w:t>Siconfi</w:t>
      </w:r>
      <w:proofErr w:type="spellEnd"/>
      <w:r w:rsidRPr="000C786F">
        <w:rPr>
          <w:rFonts w:ascii="Times New Roman" w:eastAsia="Times New Roman" w:hAnsi="Times New Roman" w:cs="Times New Roman"/>
          <w:sz w:val="24"/>
          <w:szCs w:val="24"/>
          <w:lang w:eastAsia="pt-BR"/>
        </w:rPr>
        <w:t>, o que deverá ocorrer até as datas-limite de 30 de abril do exercício subsequente, para os Municípios, e de 31 de maio do exercício subsequente, para Estados ou Distrito Federal e na forma definida pelas normas gerais relacionadas à consolidação, nacional e por esfera de governo, editadas pela Secretaria do Tesouro Nacional;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XIII - publicação de todos os Relatórios Resumidos da Execução Orçamentária - RREO, do exercício em curso e anterior, no prazo de até trinta dias após o encerramento de cada bimestre, em atendimento ao disposto nos </w:t>
      </w:r>
      <w:proofErr w:type="spellStart"/>
      <w:r w:rsidRPr="000C786F">
        <w:rPr>
          <w:rFonts w:ascii="Times New Roman" w:eastAsia="Times New Roman" w:hAnsi="Times New Roman" w:cs="Times New Roman"/>
          <w:sz w:val="24"/>
          <w:szCs w:val="24"/>
          <w:lang w:eastAsia="pt-BR"/>
        </w:rPr>
        <w:t>arts</w:t>
      </w:r>
      <w:proofErr w:type="spellEnd"/>
      <w:r w:rsidRPr="000C786F">
        <w:rPr>
          <w:rFonts w:ascii="Times New Roman" w:eastAsia="Times New Roman" w:hAnsi="Times New Roman" w:cs="Times New Roman"/>
          <w:sz w:val="24"/>
          <w:szCs w:val="24"/>
          <w:lang w:eastAsia="pt-BR"/>
        </w:rPr>
        <w:t xml:space="preserve">. 52 e 53 da Lei Complementar nº 101, de 2000, com validade até a data-limite da publicação relativa ao período subsequente, verificada pela apresentação, ao gestor de órgão ou entidade concedente, do relatório publicado, ou pela homologação do relatório no Sistema de Informações Contábeis e Fiscais do Setor Público Brasileiro - </w:t>
      </w:r>
      <w:proofErr w:type="spellStart"/>
      <w:r w:rsidRPr="000C786F">
        <w:rPr>
          <w:rFonts w:ascii="Times New Roman" w:eastAsia="Times New Roman" w:hAnsi="Times New Roman" w:cs="Times New Roman"/>
          <w:sz w:val="24"/>
          <w:szCs w:val="24"/>
          <w:lang w:eastAsia="pt-BR"/>
        </w:rPr>
        <w:t>Siconfi</w:t>
      </w:r>
      <w:proofErr w:type="spellEnd"/>
      <w:r w:rsidRPr="000C786F">
        <w:rPr>
          <w:rFonts w:ascii="Times New Roman" w:eastAsia="Times New Roman" w:hAnsi="Times New Roman" w:cs="Times New Roman"/>
          <w:sz w:val="24"/>
          <w:szCs w:val="24"/>
          <w:lang w:eastAsia="pt-BR"/>
        </w:rPr>
        <w:t>, ou sistema que vier a substituí-lo, ou de atestado, inserido no mesmo sistema, do Chefe do Poder Executivo, por meio de certificação digital, atestando a publicação do RREO, inclusive em meios eletrônicos de acesso público.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 xml:space="preserve">XIV- comprovação de que as Despesas de Caráter Continuado Derivadas do Conjunto das Parcerias Público-Privadas já contratadas no ano anterior limitam-se a 5% (cinco por cento) da receita corrente líquida do exercício e se as despesas anuais dos contratos vigentes nos 10 (dez) anos subsequentes limitam-se a 5% (cinco por cento) da receita corrente líquida projetada para os respectivos exercícios, conforme disposto no art. 28, da Lei nº 11.079, de 30 de dezembro de 2004; comprovado por meio de análise do anexo XVII do Relatório Resumido de Execução Orçamentária -RREO do 6º bimestre, de acordo com as orientações previstas no Manual de Demonstrativos Fiscais da Secretaria do Tesouro Nacional, enviado por meio do Sistema de Informações Contábeis e Fiscais do Setor Público Brasileiro - </w:t>
      </w:r>
      <w:proofErr w:type="spellStart"/>
      <w:r w:rsidRPr="000C786F">
        <w:rPr>
          <w:rFonts w:ascii="Times New Roman" w:eastAsia="Times New Roman" w:hAnsi="Times New Roman" w:cs="Times New Roman"/>
          <w:sz w:val="24"/>
          <w:szCs w:val="24"/>
          <w:lang w:eastAsia="pt-BR"/>
        </w:rPr>
        <w:t>Siconfi</w:t>
      </w:r>
      <w:proofErr w:type="spellEnd"/>
      <w:r w:rsidRPr="000C786F">
        <w:rPr>
          <w:rFonts w:ascii="Times New Roman" w:eastAsia="Times New Roman" w:hAnsi="Times New Roman" w:cs="Times New Roman"/>
          <w:sz w:val="24"/>
          <w:szCs w:val="24"/>
          <w:lang w:eastAsia="pt-BR"/>
        </w:rPr>
        <w:t>, ou sistema que vier a substituí-lo, ou por meio de declaração de regularidade quanto aos limites estabelecidos na Lei nº 11.079, de 2004, do chefe do executivo ou do secretário de finanças juntamente com a remessa da declaração para o Tribunal de Contas competente por meio de recibo do protocolo, aviso de recebimento ou carta registrada com validade até 30 de janeiro do ano subsequente;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XV - comprovação da regularidade quanto ao Pagamento de Precatórios Judiciais, comprovado por meio de certificado emitido pelo Cadastro de Inadimplentes do Conselho Nacional de Justiça - CEDIN, disponível na Internet, ou por meio de certidão dos competentes Tribunal de Justiça, Tribunal Regional do Trabalho e Tribunal Regional Federal, ou, ainda, por meio declaração de regularidade quanto ao pagamento de precatórios judiciais do chefe do executivo ou do secretário de finanças juntamente com a remessa da declaração para os citados tribunais por meio de recibo do protocolo, aviso de recebimento ou carta registrada, devendo apontar se o ente é aderente ao regime de que trata o art. 97, § 10, inciso IV, alínea "b", do Ato das Disposições Constitucionais Transitórias, qual a periodicidade de pagamento e a data do próximo vencimento;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XVI - comprovação de divulgação da execução orçamentária e financeira por meio eletrônico de acesso ao público e de informações pormenorizadas relativas à receita e à despesa em atendimento ao disposto no art. 73-C da Lei Complementar nº 101, de 2000, comprovado por meio de declaração de cumprimento, com validade no mês da assinatura, juntamente com a remessa da declaração para o respectivo Tribunal de Contas por meio de recibo do protocolo, aviso de recebimento ou carta registrada;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XVII - inexistência de situação de vedação ao recebimento de transferências voluntárias nos termos do art. 33, combinado com o inciso I do § 3º do art. 23, ambos da Lei Complementar nº 101, de 2000, comprovado por meio de declaração, com validade no mês da assinatura, de que não realizou operação de crédito enquadrada no § 1º do art. 33 da Lei Complementar nº 101, de 2000, juntamente com o comprovante de remessa da declaração para o respectivo Tribunal de Contas por meio de recibo do protocolo, aviso de recebimento ou carta registrada; (Alterado pela PORTARIA INTERMINISTERIAL Nº 101, DE 20 DE ABRIL DE 2017).</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XVIII - fornecimento da relação das empresas públicas e das sociedades de economia mista ao Registro Público de Empresas Mercantis e Atividades Afins de que trata o Decreto nº 1.800, de 30 de janeiro de 1996, consoante o prescrito no art. 92 da Lei nº 13.303, de 30 de junho de 2016, comprovado por meio de declaração, com validade no mês da assinatura, juntamente com o comprovante de remessa da declaração para o respectivo Tribunal de Contas por meio de recibo do protocolo, aviso de recebimento ou carta registrada; (Alterado pela PORTARIA INTERMINISTERIAL Nº 101, DE 20 DE ABRIL DE 2017).</w:t>
      </w:r>
    </w:p>
    <w:p w:rsidR="000C786F" w:rsidRPr="000C786F" w:rsidRDefault="000C786F" w:rsidP="000C786F">
      <w:pPr>
        <w:spacing w:before="100" w:beforeAutospacing="1" w:after="100" w:afterAutospacing="1" w:line="240" w:lineRule="auto"/>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XIX - Disponibilização das informações e dados contábeis, orçamentários e fiscais conforme periodicidade, formato e sistema estabelecidos em normativo específico do </w:t>
      </w:r>
      <w:r w:rsidRPr="000C786F">
        <w:rPr>
          <w:rFonts w:ascii="Times New Roman" w:eastAsia="Times New Roman" w:hAnsi="Times New Roman" w:cs="Times New Roman"/>
          <w:sz w:val="24"/>
          <w:szCs w:val="24"/>
          <w:lang w:eastAsia="pt-BR"/>
        </w:rPr>
        <w:lastRenderedPageBreak/>
        <w:t>órgão central de contabilidade da União, nos termos do § 2º do art. 48 da Lei Complementar nº 101, de 2000, alterado pela Lei Complementar nº 156, de 2016; e (Incluído pela PORTARIA INTERMINISTERIAL Nº 101, DE 20 DE ABRIL DE 2017).</w:t>
      </w:r>
    </w:p>
    <w:p w:rsidR="000C786F" w:rsidRPr="000C786F" w:rsidRDefault="000C786F" w:rsidP="000C786F">
      <w:pPr>
        <w:spacing w:before="100" w:beforeAutospacing="1" w:after="100" w:afterAutospacing="1" w:line="240" w:lineRule="auto"/>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XX - encaminhamento das informações necessárias para a constituição do registro eletrônico centralizado e atualizado das </w:t>
      </w:r>
      <w:proofErr w:type="spellStart"/>
      <w:r w:rsidRPr="000C786F">
        <w:rPr>
          <w:rFonts w:ascii="Times New Roman" w:eastAsia="Times New Roman" w:hAnsi="Times New Roman" w:cs="Times New Roman"/>
          <w:sz w:val="24"/>
          <w:szCs w:val="24"/>
          <w:lang w:eastAsia="pt-BR"/>
        </w:rPr>
        <w:t>dí</w:t>
      </w:r>
      <w:proofErr w:type="spellEnd"/>
      <w:r w:rsidRPr="000C786F">
        <w:rPr>
          <w:rFonts w:ascii="Times New Roman" w:eastAsia="Times New Roman" w:hAnsi="Times New Roman" w:cs="Times New Roman"/>
          <w:sz w:val="24"/>
          <w:szCs w:val="24"/>
          <w:lang w:eastAsia="pt-BR"/>
        </w:rPr>
        <w:t>- vidas públicas interna e externa de que trata o § 4o do art. 32 da Lei Complementar nº 101, de 2000, conforme termos e periodicidade definidos em instrução específica do Ministério da Fazenda." (NR) (Incluído pela PORTARIA INTERMINISTERIAL Nº 101, DE 20 DE ABRIL DE 2017).</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A verificação dos requisitos para o recebimento de transferências voluntárias deverá ser feita no momento da assinatura do respectivo instrumento, bem como na assinatura dos correspondentes aditamentos de valor, não sendo necessária nas liberações financeiras de recurso, que devem obedecer ao cronograma de desembolso previsto no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A demonstração do cumprimento das exigências, por parte dos Estados, Distrito Federal e Municípios, respectivas Administrações Indiretas e entidades privadas sem fins lucrativos, deverá ser feita por meio de apresentação pelo proponente, ao concedente, de comprovação de sua regularidade e da unidade executora, quando houver.</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A critério do proponente, poderá ser utilizado, para fins do §1º, extrato emitido pelo Serviço Auxiliar de Informações para Transferências Voluntárias -CAUC, disponibilizado pela Secretaria do Tesouro Nacional, ou sistema que venha a substituí-lo, apenas com relação aos requisitos que estiverem espelhados no referido extrato.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A relação dos requisitos citados neste artigo, que estiverem espelhados no referido extrato, está disponível no sítio eletrônico da Secretaria do Tesouro Nacional.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5º As informações espelhadas no referido extrato são de responsabilidade dos órgãos e entidades competentes, cabendo à Secretaria do Tesouro Nacional apenas a consolidação e disponibilização destas no sistema citado no § 3º deste artigo.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6º O proponente deverá comprovar os demais requisitos não contemplados no extrato emitido por sistema de consulta de requisitos disponibilizado pela Secretaria do Tesouro Nacional.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7º A verificação do atendimento das exigências contidas neste artigo, dar-se-á pela consulta: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ao número de inscrição constante do Cadastro Nacional de Pessoa Jurídica - CNPJ, mantido pelo Ministério da Fazenda -MF, do Ente Federativo (interveniente) e do órgão da Administração direta (convenente), para instrumentos com a Administração direta; ou</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exclusivamente, ao número de inscrição no Cadastro Nacional de Pessoa Jurídica -CNPJ da entidade da Administração indireta beneficiária da transferência voluntária.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8º Aplicam-se à unidade executora as exigências contidas neste artigo, relativas ao proponente, quando este for órgão ou entidade da Administração Pública.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 9º O registro no Cadastro Nacional de Pessoa Jurídica - CNPJ do Ente Federativo (interveniente) será o número de inscrição principal no CNPJ.</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10. A comprovação de cumprimento das obrigações descritas nos incisos I, VIII, IX, X, XII, XIII e XIV do caput, ainda que praticadas fora do prazo estipulado em lei para seu exercício, não impedirá a celebração de instrumento para transferência voluntária ou de aditamento de valor de suas parcelas de recursos, a partir da data em que se der a referida comprovação.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11. Aos instrumentos celebrados: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com a Administração indireta, aplicam-se somente as exigências previstas nos incisos III, IV, V, VI e VII do caput;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com entidades privadas sem fins lucrativos, aplicam-se somente as exigências previstas nos incisos III, IV, V e VI do caput.</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12. Para fins da aplicação das sanções de suspensão de transferências voluntárias constantes da Lei Complementar nº 101, de 2000, excetuam-se aquelas relativas a ações de educação, saúde e assistência social.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13. Fica suspensa a restrição para transferência de recursos federais a Estados, Distrito Federal e Municípios destinados à execução de ações sociais e ações em faixa de fronteira, em decorrência de inadimplementos objeto de registro no CADIN e no Sistema Integrado de Administração Financeira do Governo Federal - SIAFI.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14. É condição para a celebração de instrumentos, a existência de dotação orçamentária específica no orçamento do concedente, a qual deverá ser evidenciada no instrumento, indicando-se a respectiva nota de empenho.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15. Eventuais indícios de irregularidade em relação à contratação de operações de créditos com instituições financeiras, consoante citado no art. 33, combinado com o inciso I do § 3º do art. 23, ambos da Lei Complementar nº 101, de 2000, deverão ser remetidos ao Banco Central do Brasil e ao respectivo Tribunal de Contas.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16. Adicionalmente à exigência da declaração de que trata o inciso XVI do caput, apresentada pelo proponente, o concedente deverá realizar consulta à funcionalidade específica no SICONV para verificar a inexistência de impedimento decorrente do descumprimento do disposto no art. 73-C da Lei Complementar nº 101, de 2000.</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17. A funcionalidade de que trata o § 16 conterá informação acerca do descumprimento do disposto no art. 73-C da Lei Complementar nº 101, de 2000, pelos entes da federação, prestada mediante comunicação pelos Tribunais de Contas de Estados e Municípios ou pelos Ministérios Públicos Federal ou Estaduais, a qual poderá ser realizada diretamente no SICONV.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18. O impedimento eventualmente informado pelos Tribunais de Contas, nos termos dos §§ 16 e 17 deste artigo, prevalecerá em relação à declaração de cumprimento de que trata o inciso XVI do caput.</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 19. Os proponentes e as unidades executoras citadas no § 8 deste artigo, devem estar registrados no SICONV pelo número de inscrição no Cadastro Nacional da Pessoa </w:t>
      </w:r>
      <w:r w:rsidRPr="000C786F">
        <w:rPr>
          <w:rFonts w:ascii="Times New Roman" w:eastAsia="Times New Roman" w:hAnsi="Times New Roman" w:cs="Times New Roman"/>
          <w:sz w:val="24"/>
          <w:szCs w:val="24"/>
          <w:lang w:eastAsia="pt-BR"/>
        </w:rPr>
        <w:lastRenderedPageBreak/>
        <w:t>Jurídica - CNPJ na condição de estabelecimento-matriz, segundo definido na Instrução Normativa nº 1.183, de 19 de agosto de 2011, da Secretaria da Receita Federal do Brasil.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20. A publicação dos Relatórios mencionada nos incisos X e XIII do caput, no exercício em que esta Portaria entre em vigor, somente serão aplicáveis para os relatórios do exercício em curso.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21. Adicionalmente aos requisitos constantes no inciso II do § 11 deste artigo necessários à celebração de instrumentos com entidades privadas sem fins lucrativos, observado o disposto no inciso III do art. 9º desta Portaria, a entidade proponente deverá apresentar:</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I - declaração do representante legal da entidade privada sem fins lucrativos de que não possui impedimento no Cadastro de Entidades Privadas Sem Fins Lucrativos Impedidas - </w:t>
      </w:r>
      <w:proofErr w:type="spellStart"/>
      <w:r w:rsidRPr="000C786F">
        <w:rPr>
          <w:rFonts w:ascii="Times New Roman" w:eastAsia="Times New Roman" w:hAnsi="Times New Roman" w:cs="Times New Roman"/>
          <w:sz w:val="24"/>
          <w:szCs w:val="24"/>
          <w:lang w:eastAsia="pt-BR"/>
        </w:rPr>
        <w:t>Cepim</w:t>
      </w:r>
      <w:proofErr w:type="spellEnd"/>
      <w:r w:rsidRPr="000C786F">
        <w:rPr>
          <w:rFonts w:ascii="Times New Roman" w:eastAsia="Times New Roman" w:hAnsi="Times New Roman" w:cs="Times New Roman"/>
          <w:sz w:val="24"/>
          <w:szCs w:val="24"/>
          <w:lang w:eastAsia="pt-BR"/>
        </w:rPr>
        <w:t>, no SICONV, no SIAFI, e no CADIN;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certidão negativa referente ao Cadastro Nacional de Condenações Civis por Ato de Improbidade Administrativa e Inelegibilidade, supervisionado pelo Conselho Nacional de Justiça.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23. Sem prejuízo do disposto no art. 22 desta Portaria, são condições para a celebração de instrumentos: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cadastro do convenente atualizado no SICONV no momento da celebração, nos termos do art. 14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Plano de Trabalho aprovado;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licença ambiental prévia, quando o instrumento envolver obras, instalações ou serviços que exijam estudos ambientais, na forma disciplinada pelo Conselho Nacional do Meio Ambiente - CONAMA;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IV - comprovação do exercício pleno dos poderes inerentes à propriedade do imóvel, mediante certidão emitida pelo cartório de registro de imóveis competente, quando o instrumento tiver por objeto a execução de obras ou benfeitorias no imóvel.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Poderá ser aceita, para autorização de início do objeto ajustado, declaração do Chefe do Poder Executivo, sob as penas do art. 299 do Código Penal, de que o convenente é detentor da posse da área objeto da intervenção, quando se tratar de área pública, devendo a regularização formal da propriedade ser comprovada até o final da execução do objeto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Alternativamente à certidão prevista no inciso IV do caput, admite-se, por interesse público ou social, condicionadas à garantia subjacente de uso pelo prazo mínimo de 20 (vinte) anos, o seguinte: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comprovação de ocupação regular de imóvel: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em área desapropriada por Estado, por Município, pelo Distrito Federal ou pela União, com sentença transitada em julgado no processo de desapropriação;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em área devoluta;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c) recebido em doação: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1. da União, do Estado, do Município ou do Distrito Federal, já aprovada em lei, conforme o caso, e, se necessária, inclusive quando o processo de registro de titularidade do imóvel ainda se encontrar em trâmite;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2. de pessoa física ou jurídica, inclusive quando o processo de registro de titularidade do imóvel ainda se encontrar em trâmite, neste caso, com promessa formal de doação irretratável e irrevogável;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d) que, embora ainda não haja sido devidamente consignado no cartório de registro de imóveis competente, pertence </w:t>
      </w:r>
      <w:proofErr w:type="spellStart"/>
      <w:r w:rsidRPr="000C786F">
        <w:rPr>
          <w:rFonts w:ascii="Times New Roman" w:eastAsia="Times New Roman" w:hAnsi="Times New Roman" w:cs="Times New Roman"/>
          <w:sz w:val="24"/>
          <w:szCs w:val="24"/>
          <w:lang w:eastAsia="pt-BR"/>
        </w:rPr>
        <w:t>a</w:t>
      </w:r>
      <w:proofErr w:type="spellEnd"/>
      <w:r w:rsidRPr="000C786F">
        <w:rPr>
          <w:rFonts w:ascii="Times New Roman" w:eastAsia="Times New Roman" w:hAnsi="Times New Roman" w:cs="Times New Roman"/>
          <w:sz w:val="24"/>
          <w:szCs w:val="24"/>
          <w:lang w:eastAsia="pt-BR"/>
        </w:rPr>
        <w:t xml:space="preserve"> Estado que se instalou em decorrência da transformação de Território Federal, ou mesmo a qualquer de seus Municípios, por força de mandamento constitucional ou legal;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e) pertencente a outro ente público que não o proponente, desde que a intervenção esteja autorizada pelo proprietário, por meio de ato do chefe do poder executivo ou titular do órgão detentor de delegação para tanto;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f) que, independentemente da sua </w:t>
      </w:r>
      <w:proofErr w:type="spellStart"/>
      <w:r w:rsidRPr="000C786F">
        <w:rPr>
          <w:rFonts w:ascii="Times New Roman" w:eastAsia="Times New Roman" w:hAnsi="Times New Roman" w:cs="Times New Roman"/>
          <w:sz w:val="24"/>
          <w:szCs w:val="24"/>
          <w:lang w:eastAsia="pt-BR"/>
        </w:rPr>
        <w:t>dominialidade</w:t>
      </w:r>
      <w:proofErr w:type="spellEnd"/>
      <w:r w:rsidRPr="000C786F">
        <w:rPr>
          <w:rFonts w:ascii="Times New Roman" w:eastAsia="Times New Roman" w:hAnsi="Times New Roman" w:cs="Times New Roman"/>
          <w:sz w:val="24"/>
          <w:szCs w:val="24"/>
          <w:lang w:eastAsia="pt-BR"/>
        </w:rPr>
        <w:t>, esteja inserido em Zona Especial de Interesse Social - ZEIS, instituída na forma prevista na Lei nº 10.257, de 10 de julho de 2001, devendo, neste caso, serem apresentados os seguintes documentos: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1. cópia da publicação, em periódico da Imprensa Oficial, da lei estadual, municipal ou distrital federal instituidora da ZEIS;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2. demonstração de que o imóvel beneficiário do investimento encontra-se na ZEIS instituída pela lei referida no item 1 desta alínea;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3. declaração firmada pelo Chefe do Poder Executivo do ente federativo a que o convenente seja vinculado de que os habitantes da ZEIS serão beneficiários de ações visando à regularização fundiária da área habitada para salvaguardar seu direito à moradia;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g) objeto de sentença favorável aos ocupantes, transitada em julgado, proferida em ação judicial de usucapião ou concessão de uso especial para fins de moradia, nos termos do art. 183 da Constituição Federal, da Lei nº 10.257, de 2001, e da Medida Provisória nº 2.220, de 4 de setembro de 2001;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h) tombado pelo Instituto do Patrimônio Histórico e Artístico Nacional - IPHAN, desde que haja aquiescência do Instituto;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contrato ou compromisso irretratável e irrevogável de constituição de direito real sobre o imóvel, na forma de cessão de uso, concessão de direito real de uso, concessão de uso especial para fins de moradia, aforamento ou direito de superfície, atendidos os seguintes requisitos: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gramStart"/>
      <w:r w:rsidRPr="000C786F">
        <w:rPr>
          <w:rFonts w:ascii="Times New Roman" w:eastAsia="Times New Roman" w:hAnsi="Times New Roman" w:cs="Times New Roman"/>
          <w:sz w:val="24"/>
          <w:szCs w:val="24"/>
          <w:lang w:eastAsia="pt-BR"/>
        </w:rPr>
        <w:t>a)o</w:t>
      </w:r>
      <w:proofErr w:type="gramEnd"/>
      <w:r w:rsidRPr="000C786F">
        <w:rPr>
          <w:rFonts w:ascii="Times New Roman" w:eastAsia="Times New Roman" w:hAnsi="Times New Roman" w:cs="Times New Roman"/>
          <w:sz w:val="24"/>
          <w:szCs w:val="24"/>
          <w:lang w:eastAsia="pt-BR"/>
        </w:rPr>
        <w:t xml:space="preserve"> proprietário que firmar a constituição do direito real não poderá exercer qualquer tipo de gerência ou ingerência sobre a área do imóvel, tampouco obstar ou limitar o livre acesso à população beneficiada;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b) estando a área do imóvel cedido localizado integralmente dentro de propriedade particular, a validade da constituição do direito real ficará condicionada à efetiva e </w:t>
      </w:r>
      <w:r w:rsidRPr="000C786F">
        <w:rPr>
          <w:rFonts w:ascii="Times New Roman" w:eastAsia="Times New Roman" w:hAnsi="Times New Roman" w:cs="Times New Roman"/>
          <w:sz w:val="24"/>
          <w:szCs w:val="24"/>
          <w:lang w:eastAsia="pt-BR"/>
        </w:rPr>
        <w:lastRenderedPageBreak/>
        <w:t>preliminar constituição da respectiva servidão de passagem até o local do objeto do instrumento, não podendo haver qualquer tipo de restrição ou obstrução de acesso à população beneficiada;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c) fica o convenente responsável pela observância do cumprimento do objeto ajustado pelo respectivo período da mencionada cessão ou equivalente, sob pena de aplicação de penalidades conforme legislação vigente;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comprovação de ocupação da área objeto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por comunidade remanescente de quilombos, certificadas nos termos do § 4º do art. 3º do Decreto nº 4.887, de 20 de novembro de 2003, pelo seguinte documento: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1. ato administrativo que reconheça os limites da área ocupada pela comunidade remanescente de quilombo, expedido pelo órgão do ente Federativo responsável pela sua titulação; ou</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2. declaração de órgão, de quaisquer dos entes federativos, responsável pelo ordenamento territorial ou regularização fundiária, de que a área objeto do instrumento é ocupada por comunidade remanescente de quilombo, caso não tenha sido expedido o ato de que trata o item 1 desta alínea;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por comunidade indígena, mediante documento expedido pela Fundação Nacional do Índio - FUNAI.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 3º Nas hipóteses previstas na alínea "a" do inciso I do § 2º deste artigo, quando o processo de desapropriação não estiver concluído, é permitida a comprovação do exercício pleno dos poderes inerentes à propriedade do imóvel via Termo de Imissão Provisória de Posse ou alvará do juízo da vara onde o processo estiver tramitando, admitindo- se, ainda, caso esses documentos não </w:t>
      </w:r>
      <w:proofErr w:type="spellStart"/>
      <w:r w:rsidRPr="000C786F">
        <w:rPr>
          <w:rFonts w:ascii="Times New Roman" w:eastAsia="Times New Roman" w:hAnsi="Times New Roman" w:cs="Times New Roman"/>
          <w:sz w:val="24"/>
          <w:szCs w:val="24"/>
          <w:lang w:eastAsia="pt-BR"/>
        </w:rPr>
        <w:t>hajam</w:t>
      </w:r>
      <w:proofErr w:type="spellEnd"/>
      <w:r w:rsidRPr="000C786F">
        <w:rPr>
          <w:rFonts w:ascii="Times New Roman" w:eastAsia="Times New Roman" w:hAnsi="Times New Roman" w:cs="Times New Roman"/>
          <w:sz w:val="24"/>
          <w:szCs w:val="24"/>
          <w:lang w:eastAsia="pt-BR"/>
        </w:rPr>
        <w:t xml:space="preserve"> sido emitidos, a apresentação, pelo proponente do instrumento, de cópia da publicação, na Imprensa Oficial, do decreto de desapropriação e do Registro Geral de Imóveis - RGI do imóvel, acompanhado do acordo extrajudicial firmado com o expropriado.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Na hipótese prevista na alínea "c", do inciso I, do § 2º deste artigo, é imperativa a apresentação da promessa formal de doação (termo de doação), irretratável e irrevogável, caso o processo de registro da doação ainda não haja sido concluído.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5º Quando o instrumento tiver por objeto obras habitacionais ou de urbanização de interesse público ou social, deverá constar no instrumento de autorização ou, se for o caso, no contrato ou compromisso, de que tratam a alínea "f", do inciso I e o inciso II, ambos do § 2º deste artigo, a obrigação de se realizar a regularização fundiária em favor das famílias moradoras ou a cessão do imóvel ao proponente do instrumento a fim de que este possa promovê-la.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6º A critério do concedente, os documentos previstos nos incisos III e IV do caput poderão ser encaminhados juntamente com o projeto básico, após a celebração, aplicando-se § 3º do art. 21 desta Portaria em relação aos prazos.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24. Poderá ser realizada a celebração de instrumentos com previsão de condição a ser cumprida pelo convenente, exceto aquelas dispostas no art. 22 desta Portaria, e enquanto a condição não se verificar não terá efeito a celebração pactuada.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 1º. O prazo fixado no instrumento para o cumprimento da condição, desde que feitas as adequações no plano de trabalho e apresentadas as justificativas, poderá ser prorrogado, nos termos de ato regulamentar da autoridade máxima do concedente, por uma única vez, de igual período, não ultrapassando dezoito meses, incluída a prorrogação, se houver, devendo ser o instrumento extinto no caso do não cumprimento da condição;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Para os instrumentos celebrados pelo Ministério da Saúde, o prazo previsto no § 1º poderá ser de até vinte e quatro meses.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25. A titularidade dos bens remanescentes é do convenente, salvo expressa disposição em contrário no instrumento celebrado.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II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 FORMALIZAÇÃO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26. O preâmbulo do instrumento conterá a numeração sequencial no SICONV, a qualificação completa dos partícipes e a finalidade.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Parágrafo único. Constará também no preâmbulo a qualificação completa do interveniente e da mandatária, quando houver.</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27. São cláusulas necessárias nos instrumentos regulados por esta Portaria as que estabeleçam:</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o objeto e seus elementos característicos, em consonância com o plano de trabalho, que integrará o termo celebrado independentemente de transcrição;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as obrigações de cada um dos partícipes;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a contrapartida, observados os ditames previstos no art. 18,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IV - as obrigações do interveniente, quando houver, sendo vedada a execução de atividades previstas no plano de trabalho;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 - a vigência, fixada de acordo com o prazo previsto para a consecução do objeto e em função das metas estabelecidas;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VI - a obrigação do concedente prorrogar "de ofício" a vigência do instrumento antes do seu término, quando der causa a atraso na liberação dos recursos, limitada a prorrogação ao exato período do atraso verificado;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VII - a prerrogativa do órgão ou entidade transferidor dos recursos financeiros assumir ou transferir a responsabilidade pela execução do objeto, no caso de paralisação ou da ocorrência de fato relevante, de modo a evitar sua descontinuidade;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VIII - a classificação orçamentária da despesa, mencionando-se o número e data da nota de empenho e declaração de que, em termos aditivos ou apostilas, indicar-se-ão os créditos e empenhos para sua cobertura, de cada parcela da despesa a ser transferida em exercício futuro;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IX - o cronograma de desembolso conforme o plano de trabalho, incluindo os recursos da contrapartida pactuada, quando houver;</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X - a obrigatoriedade de o convenente incluir regularmente no SICONV as informações e os documentos exigidos por esta Portaria, mantendo-o atualizado;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XI - a obrigatoriedade de restituição de recursos, nos casos previstos nesta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XII - no caso de órgão ou entidade pública, a informação de que os recursos para atender às despesas em exercícios futuros, no caso de investimento, estão consignados no plano plurianual ou em prévia lei que os autorize;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XIII - a obrigação do convenente de manter e movimentar os recursos na conta bancária específica do instrumento em instituição financeira oficial, federal ou estadual, e, no caso de contratos de repasse, exclusivamente em instituição financeira federal;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XIV - a indicação da obrigatoriedade de contabilização e guarda dos bens remanescentes pelo convenente e a manifestação de compromisso de utilização dos bens para assegurar a continuidade de programa governamental, devendo estar claras as regras e diretrizes de utilização;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XV - a forma pela qual a execução física do objeto será acompanhada pelo concedente ou mandatária, inclusive com a indicação dos recursos humanos e tecnológicos que serão empregados na atividade ou, se for o caso, a indicação da participação de órgãos ou entidades previstos no § 3° do art. 55 desta Portaria, devendo ser suficiente para garantir o pleno acompanhamento e a verificação da execução física do objeto pactuado;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XVI - o livre acesso dos servidores do órgão ou entidade pública concedente, da mandatária e os do controle interno do Poder Executivo Federal, bem como do Tribunal de Contas da União aos processos, documentos, informações referentes aos instrumentos de transferências regulamentados por esta Portaria, bem como aos locais de execução do objeto, inclusive, nos casos em que a instituição financeira oficial não controlada pela União faça a gestão da conta bancária específica do termo;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XVII - a faculdade dos partícipes rescindirem o instrumento, a qualquer tempo;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XVIII - a previsão de extinção obrigatória do instrumento em caso de o projeto básico ou termo de referência não terem sido aprovados ou apresentados no prazo estabelecido, quando for o caso;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XIX - a indicação do foro para dirimir as dúvidas decorrentes da execução dos instrumentos;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XX - a obrigação de o convenente inserir cláusula nos contratos celebrados para execução do instrumento que permitam o livre acesso dos servidores do órgão ou entidade pública concedente, bem como dos órgãos de controle, aos documentos e registros contábeis das empresas contratadas, na forma dos </w:t>
      </w:r>
      <w:proofErr w:type="spellStart"/>
      <w:r w:rsidRPr="000C786F">
        <w:rPr>
          <w:rFonts w:ascii="Times New Roman" w:eastAsia="Times New Roman" w:hAnsi="Times New Roman" w:cs="Times New Roman"/>
          <w:sz w:val="24"/>
          <w:szCs w:val="24"/>
          <w:lang w:eastAsia="pt-BR"/>
        </w:rPr>
        <w:t>arts</w:t>
      </w:r>
      <w:proofErr w:type="spellEnd"/>
      <w:r w:rsidRPr="000C786F">
        <w:rPr>
          <w:rFonts w:ascii="Times New Roman" w:eastAsia="Times New Roman" w:hAnsi="Times New Roman" w:cs="Times New Roman"/>
          <w:sz w:val="24"/>
          <w:szCs w:val="24"/>
          <w:lang w:eastAsia="pt-BR"/>
        </w:rPr>
        <w:t>. 45 e 49 a 51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XXI - a sujeição do instrumento e sua execução às normas do Decreto nº 6.170, de 25 de julho de 2007, bem como do Decreto nº 93.872, de 23 de dezembro de 1986, e a 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XXII - a previsão de, na ocorrência de cancelamento de restos a pagar, que o quantitativo possa ser reduzido até a etapa que não prejudique a funcionalidade do objeto pactuado;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XXIII - a forma de liberação dos recursos ou desbloqueio, quando se tratar de contrato de repasse;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XXIV - a obrigação de prestar contas dos recursos recebidos no SICONV;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XXV - o bloqueio de recursos na conta corrente vinculada, quando se tratar de contrato de repasse;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XXVI - a responsabilidade solidária dos entes consorciados, nos instrumentos que envolvam consórcio público;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XXVII - o prazo para devolução dos saldos remanescentes e a apresentação da prestação de contas;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XXVIII - as obrigações da unidade executora, quando houver;</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XXIX - a autorização do convenente para que o concedente ou mandatária solicitem junto à instituição financeira </w:t>
      </w:r>
      <w:proofErr w:type="spellStart"/>
      <w:r w:rsidRPr="000C786F">
        <w:rPr>
          <w:rFonts w:ascii="Times New Roman" w:eastAsia="Times New Roman" w:hAnsi="Times New Roman" w:cs="Times New Roman"/>
          <w:sz w:val="24"/>
          <w:szCs w:val="24"/>
          <w:lang w:eastAsia="pt-BR"/>
        </w:rPr>
        <w:t>albergante</w:t>
      </w:r>
      <w:proofErr w:type="spellEnd"/>
      <w:r w:rsidRPr="000C786F">
        <w:rPr>
          <w:rFonts w:ascii="Times New Roman" w:eastAsia="Times New Roman" w:hAnsi="Times New Roman" w:cs="Times New Roman"/>
          <w:sz w:val="24"/>
          <w:szCs w:val="24"/>
          <w:lang w:eastAsia="pt-BR"/>
        </w:rPr>
        <w:t xml:space="preserve"> da conta corrente específica, a transferência dos recursos financeiros por ele repassados, bem como os seus rendimentos, para a conta única da União, caso os recursos não sejam utilizados no objeto da transferência pelo prazo de 180 (cento e oitenta) dias;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XXX - a forma e a metodologia de comprovação do cumprimento do objeto;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XXXI - a obrigação do concedente de dispor de condições e de estrutura para o acompanhamento e verificação da execução do objeto e o cumprimento dos prazos relativos à prestação de contas;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XXXII - vedação ao estabelecimento, por parte do convenente, de instrumentos com entidades impedidas de receber recursos federais;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XXXIII - a autorização do convenente para que o concedente solicite, à instituição financeira </w:t>
      </w:r>
      <w:proofErr w:type="spellStart"/>
      <w:r w:rsidRPr="000C786F">
        <w:rPr>
          <w:rFonts w:ascii="Times New Roman" w:eastAsia="Times New Roman" w:hAnsi="Times New Roman" w:cs="Times New Roman"/>
          <w:sz w:val="24"/>
          <w:szCs w:val="24"/>
          <w:lang w:eastAsia="pt-BR"/>
        </w:rPr>
        <w:t>albergante</w:t>
      </w:r>
      <w:proofErr w:type="spellEnd"/>
      <w:r w:rsidRPr="000C786F">
        <w:rPr>
          <w:rFonts w:ascii="Times New Roman" w:eastAsia="Times New Roman" w:hAnsi="Times New Roman" w:cs="Times New Roman"/>
          <w:sz w:val="24"/>
          <w:szCs w:val="24"/>
          <w:lang w:eastAsia="pt-BR"/>
        </w:rPr>
        <w:t xml:space="preserve"> da conta corrente bancária da transferência, o resgate dos saldos remanescentes, nos casos em que não houver a devolução dos recursos no prazo previsto no art. 60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XXXIV - a obrigatoriedade do concedente e do convenente de divulgar em sítio eletrônico institucional as informações referentes a valores devolvidos, bem como a causa da devolução, nos casos de não execução total do objeto pactuado, extinção ou rescisão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XXXV - a obrigação do concedente em notificar o convenente previamente a inscrição como inadimplente no SICONV, quando detectadas impropriedades ou irregularidades no acompanhamento da execução do objeto do instrumento, devendo ser incluída no aviso a respectiva Secretaria da Fazenda ou secretaria similar, e o Poder Legislativo do órgão responsável pelo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XXXVI - a ciência sobre a não sujeição ao sigilo bancário, quanto a União e respectivos órgãos de controle, por se tratar de recurso público;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XXXVII - descrição dos parâmetros objetivos que servirão de referência para a avaliação do cumprimento do objeto, nos instrumentos enquadrados nos níveis I e IV.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 1º Todas as informações relativas à celebração, execução, acompanhamento, fiscalização e de prestação de contas, inclusive aquelas referentes à movimentação financeira dos instrumentos, serão públicas, exceto nas hipóteses legais de sigilo fiscal e bancário e nas situações classificadas como de acesso restrito, consoante o ordenamento jurídico.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Para a realização de transferências a Estados, Distrito Federal e Municípios, os órgãos e entidades da Administração Pública Federal somente poderão celebrar instrumentos contendo cláusula que obrigue o convenente ao cumprimento das normas do Decreto nº 7.983, de 2013, nas licitações que realizar para a contratação de obras ou serviços de engenharia com os recursos transferidos.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28. A execução dos objetos definidos nos instrumentos de que trata esta Portaria, no caso do convenente ser órgão público, poderá recair sobre unidade executora específica, desde que: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haja previsão no plano de trabalho aprovado;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exista cláusula nesse sentido no instrumento celebrado; e III - a unidade executora pertença ou esteja vinculada ao ente da federação do convenente.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No caso descrito no caput, o convenente continuará responsável pela execução do instrumento, sendo que a unidade executora responderá solidariamente na relação estabelecida.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Quando constatado o desvio ou malversação de recursos públicos, irregularidade na execução do contrato ou gestão financeira do instrumento, responderão solidariamente os titulares do convenente e da unidade executora, na medida de seus atos, competências e atribuições.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A responsabilização prevista nos §§ 1º e 2º deverá constar no instrumento celebrado, como cláusula necessária.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A unidade executora deverá atender a todos os dispositivos desta Portaria que sejam aplicáveis ao convenente, inclusive os requisitos de cadastramento e condições de celebração.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5º Os empenhos e a conta bancária do instrumento deverão ser realizados ou registrados em nome do convenente.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6º Os atos e procedimentos relativos à execução serão realizados no SICONV pelo convenente ou unidade executora, no caso previsto no caput, conforme definição no plano de trabalho.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7º Os convenentes serão responsáveis pelo acompanhamento, fiscalização e prestação de contas quando o objeto do instrumento recair sobre unidade executora específica.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29. O concedente ou a mandatária deverão cancelar os pré-empenhos e empenhos das propostas que não tiveram os instrumentos celebrados até o final do exercício financeiro.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Parágrafo único. Após o cancelamento dos documentos orçamentários indicados no caput, as propostas deverão ser rejeitadas no SICONV, devendo constar justificativa expressa acerca dos motivos da rejeição.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III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 ANÁLISE E ASSINATURA DO TERMO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30. A celebração do instrumento será precedida de análise e manifestação conclusiva pelos setores técnico e jurídico do órgão ou da entidade concedente, segundo suas respectivas competências, quanto ao atendimento das exigências formais, legais e constantes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Parágrafo único. A análise dos setores indicados no caput ficará restrita aos aspectos técnicos e legais necessários à celebração do instrumento e aos critérios objetivos definidos nos instrumentos, não cabendo responsabilização dos técnicos pela incidência de impropriedades, inconformidades e ilegalidades praticadas pelos convenentes durante a execução do objeto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31. Assinarão, obrigatoriamente, o instrumento os partícipes e o interveniente, se houver.</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Os instrumentos com entidades privadas sem fins lucrativos deverão ser assinados pelo Ministro de Estado ou pelo dirigente máximo da entidade da Administração Pública Federal concedente.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O Ministro de Estado e o dirigente máximo da entidade da Administração Pública Federal não poderão delegar a competência prevista no § 1º deste artigo.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As autoridades de que trata o § 1º deste artigo são responsáveis por:</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decidir sobre a aprovação da prestação de contas;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autorizar a suspensão ou cancelamento dos registros de inadimplência nos sistemas da Administração Pública Federal.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A competência prevista no § 3º poderá ser delegada às autoridades diretamente subordinadas àquelas a que se refere o § 1º, vedada a subdelegação.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IV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 PUBLICIDADE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32. A eficácia dos instrumentos fica condicionada à publicação do respectivo extrato no Diário Oficial da União, que será providenciada pelo concedente, no prazo de até 20 (vinte) dias a contar de sua assinatura.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33. Aos atos de celebração, alteração, liberação de recursos, acompanhamento e fiscalização da execução e a prestação de contas dos instrumentos será dada publicidade em sítio eletrônico específico denominado Portal dos Convênios.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Art. 34. O concedente notificará, facultada a comunicação por meio eletrônico, no prazo de até 10 (dez) dias, a celebração do instrumento à Assembleia Legislativa ou à Câmara Legislativa ou à Câmara Municipal do convenente, conforme o caso.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proofErr w:type="spellStart"/>
      <w:r w:rsidRPr="000C786F">
        <w:rPr>
          <w:rFonts w:ascii="Times New Roman" w:eastAsia="Times New Roman" w:hAnsi="Times New Roman" w:cs="Times New Roman"/>
          <w:sz w:val="24"/>
          <w:szCs w:val="24"/>
          <w:lang w:eastAsia="pt-BR"/>
        </w:rPr>
        <w:t>Paragrafo</w:t>
      </w:r>
      <w:proofErr w:type="spellEnd"/>
      <w:r w:rsidRPr="000C786F">
        <w:rPr>
          <w:rFonts w:ascii="Times New Roman" w:eastAsia="Times New Roman" w:hAnsi="Times New Roman" w:cs="Times New Roman"/>
          <w:sz w:val="24"/>
          <w:szCs w:val="24"/>
          <w:lang w:eastAsia="pt-BR"/>
        </w:rPr>
        <w:t xml:space="preserve"> único. No caso de liberação de recursos, o prazo para notificação, facultada a comunicação por meio eletrônico, será de 2 (dois) dias úteis.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35. Os convenentes deverão dar ciência da celebração do instrumento ao conselho local ou instância de controle social da área vinculada ao programa de governo que originou a transferência, quando houver.</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Parágrafo único. As entidades privadas sem fins lucrativos deverão notificar, se houver, o conselho municipal, distrital, estadual ou federal responsável pela respectiva política pública onde será executada a 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 ALTERAÇÃO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36. O instrumento poderá ser alterado mediante proposta, devidamente formalizada e justificada, a ser apresentada ao concedente ou a mandatária em, no mínimo, 30 (trinta) dias antes do término de sua vigência ou no prazo nele estipulado, vedada a alteração do objeto aprovado.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A análise da solicitação de alteração deverá ser realizada pelo concedente ou pela mandatária observados os regramentos legais e a tempestividade, de forma que não haja prejuízo a execução do objeto pactuado.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Quando a solicitação de alteração do contrato de repasse resultar em acréscimo do valor pactuado, a aprovação dependerá, também, da anuência do órgão responsável pela concepção da política pública em execução.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37. A prorrogação "de ofício" da vigência do instrumento, estabelecida no inciso VI do art. 27 desta Portaria, prescinde de prévia análise da área jurídica do concedente ou da mandatária.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TÍTULO IV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 EXECUÇÃO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DAS DISPOSIÇÕES GERAIS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38. O instrumento deverá ser executado em estrita observância às cláusulas avençadas e às normas pertinentes, inclusive esta Portaria, sendo vedado: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realizar despesas a título de taxa de administração, de gerência ou similar;</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pagar, a qualquer título, servidor ou empregado público, integrante de quadro de pessoal do órgão ou entidade pública da Administração direta ou indireta, salvo nas hipóteses previstas em leis federais específicas e na Lei de Diretrizes Orçamentárias;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III - utilizar, ainda que em caráter emergencial, os recursos para finalidade diversa da estabelecida no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IV - realizar despesa em data anterior à vigência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 - efetuar pagamento em data posterior à vigência do instrumento, salvo se o fato gerador da despesa tenha ocorrido durante a vigência do instrumento pactuado;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VI - realizar despesas com taxas bancárias, multas, juros ou correção monetária, inclusive referentes a pagamentos ou recolhimentos fora dos prazos, exceto, no que se refere às multas e aos juros, se decorrentes de atraso na transferência de recursos pelo concedente ou mandatária, e desde que os prazos para pagamento e os percentuais sejam os mesmos aplicados no mercado;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VII - transferir recursos para clubes, associações de servidores ou quaisquer entidades congêneres, exceto para creches e escolas para o atendimento pré-escolar;</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VIII- realizar despesas com publicidade, salvo a de caráter educativo, informativo ou de orientação social, da qual não constem nomes, símbolos ou imagens que caracterizem promoção pessoal e desde que previstas no plano de trabalho;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IX - pagamento, a qualquer título, a empresas privadas que tenham em seu quadro societário servidor público da ativa, ou empregado de empresa pública, ou de sociedade de economia mista, do órgão celebrante, por serviços prestados, inclusive consultoria, assistência técnica ou assemelhados.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No âmbito de instrumentos firmados com entidades privadas sem fins lucrativos poderão ser realizadas despesas administrativas, com recursos transferidos pela União, até o limite fixado pelo órgão público, desde que: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estejam previstas no plano de trabalho;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não ultrapassem 15% (quinze) por cento do valor do objeto;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sejam necessárias e proporcionais ao cumprimento do objeto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Consideram-se despesas administrativas as despesas com internet, transporte, aluguel, telefone, luz, água e outras similares.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Nas despesas administrativas relacionadas a transporte, não poderá haver previsão de pagamento de diárias e passagens a agente público da ativa por intermédio de convênios ou instrumentos congêneres firmados com entidades de direito privado ou com órgãos ou entidades de direito público.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 4º Quando a despesa for paga com recursos do instrumento e de outras fontes, o convenente deverá inserir no </w:t>
      </w:r>
      <w:proofErr w:type="spellStart"/>
      <w:r w:rsidRPr="000C786F">
        <w:rPr>
          <w:rFonts w:ascii="Times New Roman" w:eastAsia="Times New Roman" w:hAnsi="Times New Roman" w:cs="Times New Roman"/>
          <w:sz w:val="24"/>
          <w:szCs w:val="24"/>
          <w:lang w:eastAsia="pt-BR"/>
        </w:rPr>
        <w:t>Siconv</w:t>
      </w:r>
      <w:proofErr w:type="spellEnd"/>
      <w:r w:rsidRPr="000C786F">
        <w:rPr>
          <w:rFonts w:ascii="Times New Roman" w:eastAsia="Times New Roman" w:hAnsi="Times New Roman" w:cs="Times New Roman"/>
          <w:sz w:val="24"/>
          <w:szCs w:val="24"/>
          <w:lang w:eastAsia="pt-BR"/>
        </w:rPr>
        <w:t xml:space="preserve"> a memória de cálculo do rateio da despesa, sendo vedada a duplicidade ou a sobreposição de fontes de recursos no custeio de uma mesma parcela da despesa.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Art. 39. Nos instrumentos firmados com entidades privadas sem fins lucrativos, é permitida a remuneração da equipe dimensionada no plano de trabalho, inclusive de pessoal próprio da entidade, podendo contemplar despesas com pagamentos de tributos, </w:t>
      </w:r>
      <w:r w:rsidRPr="000C786F">
        <w:rPr>
          <w:rFonts w:ascii="Times New Roman" w:eastAsia="Times New Roman" w:hAnsi="Times New Roman" w:cs="Times New Roman"/>
          <w:sz w:val="24"/>
          <w:szCs w:val="24"/>
          <w:lang w:eastAsia="pt-BR"/>
        </w:rPr>
        <w:lastRenderedPageBreak/>
        <w:t>FGTS, férias e décimo terceiro salário proporcionais, verbas rescisórias e demais encargos sociais, desde que tais valores: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correspondam às atividades previstas e aprovadas no plano de trabalho;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correspondam à qualificação técnica para a execução da função a ser desempenhada;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sejam compatíveis com o valor de mercado da região onde atua a entidade privada sem fins lucrativos;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IV - observem, em seu valor bruto e individual, 70% (setenta) por cento do limite estabelecido para a remuneração de servidores do poder executivo federal;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 - sejam proporcionais ao tempo de trabalho efetivamente dedicado ao instrumento ou contrato de repasse.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A seleção e contratação, pela entidade privada sem fins lucrativos, de equipe envolvida na execução do instrumento ou contrato de repasse observará a realização de processo seletivo prévio, observadas a publicidade e a impessoalidade.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A despesa com a equipe observará os limites percentuais máximos a serem estabelecidos no edital de chamamento público.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A entidade privada sem fins lucrativos deverá dar ampla transparência aos valores pagos, de maneira individualizada, a título de remuneração de sua equipe de trabalho vinculada à execução do objeto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Não poderão ser contratadas com recursos do instrumento as pessoas naturais que tenham sido condenadas por crime: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contra a Administração Pública ou o patrimônio público;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eleitorais, para os quais a lei comine pena privativa de liberdade; ou</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de lavagem ou ocultação de bens, direitos e valores.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5º A inadimplência da entidade privada sem fins lucrativos em relação aos encargos trabalhistas, fiscais e comerciais não transfere à Administração Pública a responsabilidade por seu pagamento, nem poderá onerar o objeto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6º Quando a despesa com a remuneração da equipe for paga proporcionalmente com recursos do instrumento, a entidade privada sem fins lucrativos deverá inserir no SICONV a memória de cálculo do rateio da despesa, vedada a duplicidade ou a sobreposição de fontes de recursos no custeio de uma mesma parcela da despesa.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40. Os convenentes deverão disponibilizar, em seu sítio oficial na internet ou, na sua falta, em sua sede, em local de fácil visibilidade, consulta ao extrato do instrumento ou outro instrumento utilizado, contendo, pelo menos, o objeto, a finalidade, os valores e as datas de liberação e o detalhamento da aplicação dos recursos, bem como as contratações realizadas para a execução do objeto pactuado.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Parágrafo único. Para efeito do disposto no caput, a disponibilização do extrato na internet poderá ser suprida com a inserção de link na página oficial do órgão ou entidade convenente que possibilite acesso direto ao Portal de Convênios.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41. A liberação de recursos deverá ocorrer da seguinte forma: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exceto nos casos de instrumento com parcela única, o valor do desembolso a ser realizado pelo concedente ou pela mandatária referente à primeira parcela, não poderá exceder a 20% (vinte por cento) do valor global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a liberação da primeira parcela ou parcela única ficará condicionada ao: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envio pela mandatária e homologação pelo concedente da Síntese do Projeto Aprovado -SPA quando o objeto do instrumento envolver a execução de obras e serviços e engenharia enquadrados nos incisos II e III do art. 3º desta Portaria;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conclusão da análise técnica e aceite do processo licitatório pelo concedente ou mandatária;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a liberação das demais parcelas, está condicionada a execução de no mínimo 70% (setenta por cento) das parcelas liberadas anteriormente.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O cronograma de desembolso previsto no plano de trabalho deverá estar em consonância com as metas e fases ou etapas de execução do objeto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Após a comprovação da homologação do processo licitatório pelo convenente, o cronograma de desembolso deverá ser ajustado em observação ao grau de execução estabelecido no referido processo licitatório.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Fica vedado o adiantamento de parcelas nos casos de execução de obras e serviços de engenharia enquadrados no inciso III do art. 3º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Os recursos dos convênios serão depositados e geridos na conta bancária específica do instrumento, exclusivamente em instituições financeiras oficiais federais ou estaduais, e, no caso de contratos de repasse, exclusivamente por instituição financeira federal.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5º Os recursos de que trata o § 4º deste artigo, enquanto não utilizados, serão aplicados conforme disposto no art. 116, § 4º, da Lei nº 8.666, de 21 de junho de 1993.</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6° A conta corrente específica será nomeada fazendo-se menção ao instrumento de celebração do instrumento e estará registrada com o número de inscrição no Cadastro Nacional da Pessoa Jurídica - CNPJ do órgão ou da entidade convenente.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 7º O órgão ou entidade concedente deverá solicitar junto à instituição financeira </w:t>
      </w:r>
      <w:proofErr w:type="spellStart"/>
      <w:r w:rsidRPr="000C786F">
        <w:rPr>
          <w:rFonts w:ascii="Times New Roman" w:eastAsia="Times New Roman" w:hAnsi="Times New Roman" w:cs="Times New Roman"/>
          <w:sz w:val="24"/>
          <w:szCs w:val="24"/>
          <w:lang w:eastAsia="pt-BR"/>
        </w:rPr>
        <w:t>albergante</w:t>
      </w:r>
      <w:proofErr w:type="spellEnd"/>
      <w:r w:rsidRPr="000C786F">
        <w:rPr>
          <w:rFonts w:ascii="Times New Roman" w:eastAsia="Times New Roman" w:hAnsi="Times New Roman" w:cs="Times New Roman"/>
          <w:sz w:val="24"/>
          <w:szCs w:val="24"/>
          <w:lang w:eastAsia="pt-BR"/>
        </w:rPr>
        <w:t xml:space="preserve"> da conta corrente específica, a transferência dos recursos financeiros por ele repassados, bem como os seus rendimentos, para a conta única da União, caso os recursos não sejam utilizados no objeto da transferência pelo prazo de 180 (cento e oitenta) dias.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8º Na hipótese de inexistência de execução financeira após 180 (cento e oitenta) dias da liberação da primeira parcela o instrumento deverá ser rescindido.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9º A execução financeira mencionada no § 8º será comprovada: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I - nos casos de aquisição de bens, pela comprovação da realização da despesa, verificada pela quantidade parcial entregue, atestada e aferida;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nos casos de realização de serviços e obras, pela verificação da realização parcial com a medição correspondente atestada e aferida.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10 Na transferência à conta única da União, nos termos do §7º deste artigo, observar-se-á o montante efetivamente transferido pela União e não utilizado na execução do objeto, acrescido dos rendimentos de sua aplicação financeira.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11 Quando da conclusão, denúncia, rescisão ou extinção do instrumento, os rendimentos das aplicações financeiras deverão ser devolvidos ao concedente, observada a proporcionalidade.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12 É vedado o aproveitamento de rendimentos para ampliação ou acréscimo de metas ao plano de trabalho pactuado.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13 As receitas oriundas dos rendimentos de aplicação no mercado financeiro não poderão ser computadas como contrapartida devida pelo convenente.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14 As contas referidas no § 4º deste artigo serão preferencialmente isentas da cobrança de tarifas bancárias.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15 É vedado o início de execução de novos instrumentos e a liberação de recursos para o convenente que tiver instrumentos apoiados com recursos do Governo Federal sem execução financeira por prazo superior a 180 (cento e oitenta) dias.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16 Os recursos dos convênios de receita serão depositados e geridos na Conta Única do Tesouro Nacional, e enquanto não empregados na sua finalidade, serão remunerados pela taxa aplicável a essa conta, exceto nos casos em que características operacionais específicas não permitam a movimentação financeira pelo sistema de caixa único, em que poder-se-á utilizar a regra excepcional de depósito fora dessa conta, nos termos da Medida Provisória nº 2.170-36, de 23 de agosto de 2001." (NR) (Incluído pela PORTARIA INTERMINISTERIAL Nº 101, DE 20 DE ABRIL DE 2017).</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42. Adicionalmente ao disposto no art. 41 desta Portaria, para o recebimento de cada parcela dos recursos, o convenente deverá:</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comprovar o aporte da contrapartida pactuada que, se financeira, deverá ser depositada na conta bancária específica do instrumento em conformidade com os prazos estabelecidos no cronograma de desembolso;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estar em situação regular com a execução do plano de trabalho, com execução de no mínimo 70% (setenta por cento) das parcelas liberadas anteriormente.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Parágrafo único. A exigência prevista no inciso II do caput é aplicável ao recebimento das parcelas subsequentes à primeira.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II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 CONTRATAÇÃO COM TERCEIROS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Art. 43. Os contratos celebrados à conta dos recursos dos instrumentos deverão conter cláusula que obrigue o contratado a conceder livre acesso aos documentos e registros contábeis da empresa, referentes ao objeto contratado, para os servidores do órgão ou entidade pública concedente e dos órgãos de controle interno e externo.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44. É vedada, na hipótese de aplicação de recursos federais a serem repassados mediante instrumentos regulados por esta Portaria ou termos de parcerias, a participação em licitação ou a contratação de empresas que constem:</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no cadastro de empresas inidôneas do Tribunal de Contas da União, do Ministério da Transparência, Fiscalização e Controladoria-Geral da União;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no Sistema de Cadastramento Unificado de Fornecedores - SICAF como impedidas ou suspensas; ou</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no Cadastro Nacional de Condenações Civis por Ato de Improbidade Administrativa e Inelegibilidade, supervisionado pelo Conselho Nacional de Justiça.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Parágrafo único. O convenente deve consultar a situação do fornecedor selecionado no Cadastro Nacional de Empresas Inidôneas e Suspensas - </w:t>
      </w:r>
      <w:proofErr w:type="spellStart"/>
      <w:r w:rsidRPr="000C786F">
        <w:rPr>
          <w:rFonts w:ascii="Times New Roman" w:eastAsia="Times New Roman" w:hAnsi="Times New Roman" w:cs="Times New Roman"/>
          <w:sz w:val="24"/>
          <w:szCs w:val="24"/>
          <w:lang w:eastAsia="pt-BR"/>
        </w:rPr>
        <w:t>Ceis</w:t>
      </w:r>
      <w:proofErr w:type="spellEnd"/>
      <w:r w:rsidRPr="000C786F">
        <w:rPr>
          <w:rFonts w:ascii="Times New Roman" w:eastAsia="Times New Roman" w:hAnsi="Times New Roman" w:cs="Times New Roman"/>
          <w:sz w:val="24"/>
          <w:szCs w:val="24"/>
          <w:lang w:eastAsia="pt-BR"/>
        </w:rPr>
        <w:t>, por meio de acesso ao Portal da Transparência na internet, antes de solicitar a prestação do serviço ou a entrega do bem.</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SEÇÃO 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 CONTRATAÇÃO POR ENTIDADES PRIVADAS SEM FINS LUCRATIVOS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45. Para a aquisição de bens e contratação de serviços, as entidades privadas sem fins lucrativos deverão realizar, no mínimo, cotação prévia de preços no mercado, observados os princípios da impessoalidade, moralidade e economicidade.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A cotação prévia de preços no SICONV será desnecessária quando, em razão da natureza do objeto, não houver pluralidade de opções, devendo comprovar apenas os preços que aquele próprio fornecedor já praticou com outros demandantes, com a devida justificativa registrada no SICONV.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 2º O registro, no SICONV, dos contratos celebrados pelo beneficiário na execução do objeto é condição indispensável para sua eficácia e para a liberação das parcelas subsequentes do instrumento, conforme previsto nos </w:t>
      </w:r>
      <w:proofErr w:type="spellStart"/>
      <w:r w:rsidRPr="000C786F">
        <w:rPr>
          <w:rFonts w:ascii="Times New Roman" w:eastAsia="Times New Roman" w:hAnsi="Times New Roman" w:cs="Times New Roman"/>
          <w:sz w:val="24"/>
          <w:szCs w:val="24"/>
          <w:lang w:eastAsia="pt-BR"/>
        </w:rPr>
        <w:t>arts</w:t>
      </w:r>
      <w:proofErr w:type="spellEnd"/>
      <w:r w:rsidRPr="000C786F">
        <w:rPr>
          <w:rFonts w:ascii="Times New Roman" w:eastAsia="Times New Roman" w:hAnsi="Times New Roman" w:cs="Times New Roman"/>
          <w:sz w:val="24"/>
          <w:szCs w:val="24"/>
          <w:lang w:eastAsia="pt-BR"/>
        </w:rPr>
        <w:t>. 4º e 41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Nos casos em que o SICONV não permitir o acesso operacional para o procedimento de que trata o caput, deverá ser realizada cotação prévia de preços, devendo ser feito o registro posterior no Sistema.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46. Cada processo de compras e contratações de bens, obras e serviços das entidades sem fins lucrativos deverá ser realizado ou registrado no SICONV.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47. A entidade privada sem fins lucrativos beneficiária de recursos públicos deverá executar diretamente a integralidade do objeto, permitindo-se a contratação de serviços de terceiros quando houver previsão no plano ou programa de trabalho ou em razão de fato superveniente e imprevisível, devidamente justificado, aprovado pelo órgão ou entidade concedente.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Art. 48. Nas contratações de bens, obras e serviços as entidades privadas sem fins lucrativos poderão utilizar-se do Sistema de Registro de Preços - SRP dos entes federados.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SEÇÃO II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 CONTRATAÇÃO POR ÓRGÃOS E ENTIDADES DA ADMINISTRAÇÃO PÚBLICA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49. Os órgãos e entidades públicas que receberem recursos da União por meio dos instrumentos regulamentados por esta Portaria estão obrigados a observar as disposições contidas na Lei nº 8.666, de 1993, na Lei nº 10.520, de 17 de junho de 2002 e demais normas federais, estaduais e municipais pertinentes ao assunto, quando da contratação de terceiros.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Para aquisição de bens e serviços comuns, será obrigatório o uso da modalidade pregão, nos termos da Lei nº 10.520, de 2002, e do regulamento previsto no Decreto nº 5.450, de 31 de maio de 2005, sendo utilizada preferencialmente a sua forma eletrônica.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A inviabilidade da utilização do pregão na forma eletrônica deverá ser devidamente justificada pela autoridade competente do convenente.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As atas e as informações sobre os participantes e respectivas propostas das licitações, bem como as informações referentes às dispensas e inexigibilidades, deverão ser registradas no SICONV.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A comprovação do cumprimento dos §§ 1º e 2º do art. 16 do Decreto nº 7.983, de 2013, será realizada mediante declaração do representante legal do órgão ou entidade responsável pela licitação, que deverá ser inserida no SICONV após a homologação da licitação.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50. Os editais de licitação para consecução do objeto conveniado somente poderão ser publicados após a assinatura do respectivo instrumento e aceite do projeto técnico pelo concedente ou pela mandatária.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Parágrafo único. A publicação do extrato do edital de licitação deverá ser feita no Diário Oficial da União, em atendimento ao inciso I do art. 21, da Lei nº 8.666, de 1993, sem prejuízo ao uso de outros veículos de publicidade usualmente utilizados pelo convenente.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51. Nos instrumentos celebrados pela União com estados, Distrito Federal e municípios deverá ser observado o disposto na Lei nº 13.019, de 31 de julho de 2014, e pelas normas estaduais, distritais ou municipais, nos casos em que a execução do objeto, conforme prevista no plano de trabalho, envolver parcerias com organizações da sociedade civil.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III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DOS PAGAMENTOS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52. Os recursos deverão ser mantidos na conta corrente específica do instrumento e somente poderão ser utilizados para pagamento de despesas constantes do plano de trabalho ou para aplicação no mercado financeiro, nas hipóteses previstas em lei ou nesta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 1º Os recursos destinados à execução de contratos de repasse deverão ser:</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solicitados pela mandatária somente após a aceitação do processo licitatório;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liberados em conta corrente específica e mantidos bloqueados, somente sendo autorizado o pagamento, na forma ajustada, após verificação da regular execução do objeto pela mandatária, observando-se os seguintes procedimentos: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na execução por regime de execução direta, a liberação dos recursos relativos à primeira parcela será antecipada ao convenente na forma do cronograma de desembolso aprovado;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a liberação da segunda parcela e seguintes, na hipótese do inciso anterior, fica condicionada à aprovação pelo mandatário de relatório de execução com comprovação da aplicação dos recursos da última parcela liberada.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Os atos referentes à movimentação e ao uso dos recursos a que se refere o caput serão realizados ou registrados no SICONV, observando-se os seguintes preceitos: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movimentação mediante conta corrente específica para cada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pagamentos realizados mediante crédito na conta corrente de titularidade dos fornecedores e prestadores de serviços, facultada a dispensa deste procedimento nos seguintes casos, em que o crédito poderá ser realizado em conta corrente de titularidade do próprio convenente, devendo ser registrado no SICONV o beneficiário final da despesa: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por ato da autoridade máxima do concedente;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na execução do objeto pelo convenente por regime direto; e c) no ressarcimento ao convenente por pagamentos realizados às próprias custas decorrentes de atrasos na liberação de recursos pelo concedente e em valores além da contrapartida pactuada;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transferência das informações relativas à movimentação da conta corrente específica, a que se refere o inciso I deste parágrafo, ao SIAFI e ao SICONV, em meio magnético, a ser providenciada pelas instituições financeiras a que se refere o § 4º do art. 41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Antes da realização de cada pagamento, o convenente incluirá no SICONV, no mínimo, as seguintes informações: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a destinação do recurso;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o nome e CNPJ ou CPF do fornecedor, quando for o caso;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o contrato a que se refere o pagamento realizado; (Alterado pela PORTARIA INTERMINISTERIAL Nº 101, DE 20 DE ABRIL DE 2017).</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IV - a meta, etapa ou fase do Plano de Trabalho relativa ao pagamento; e (NR) (Incluído pela PORTARIA INTERMINISTERIAL Nº 101, DE 20 DE ABRIL DE 2017).</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 - informações das notas fiscais ou documentos contábeis.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 4º Excepcionalmente, mediante mecanismo que permita a identificação pela instituição financeira depositária, poderá ser realizado no decorrer da vigência do instrumento, um único pagamento por pessoa física que não possua conta bancária, até o limite de R$ 1.200,00 (um mil e duzentos reais).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5º Para obras de engenharia com valor superior à R$ 10.000.000,00 (dez milhões de reais) poderá haver liberação do repasse de recursos para pagamento de materiais ou equipamentos postos em canteiro, que tenham peso significativo no orçamento da obra conforme disciplinado pelo concedente, desde que: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seja apresentado pelo convenente Termo de Fiel Depositário;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a aquisição de materiais ou equipamentos constitua etapa específica do plano de trabalho;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a aquisição destes tenha se dado por procedimento licitatório distinto do da contratação de serviços de engenharia ou, no caso de única licitação: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haja previsão no ato convocatório;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o percentual de BDI aplicado sobre os materiais ou equipamentos tenha sido menor que o praticado sobre os serviços de engenharia;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c) haja justificativa técnica e econômica para essa forma de pagamento;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d) o fornecedor apresente garantia, como carta fiança bancária ou instrumento congênere, no valor do pagamento pretendido;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IV - haja adequado armazenamento e guarda dos respectivos materiais e equipamentos postos em canteiro.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 6º No caso de fornecimento de equipamentos e materiais especiais de fabricação específica, bem como de equipamentos ou materiais que tenham peso significativo no orçamento das obras, o desbloqueio de parcela para pagamento da respectiva despesa </w:t>
      </w:r>
      <w:proofErr w:type="spellStart"/>
      <w:r w:rsidRPr="000C786F">
        <w:rPr>
          <w:rFonts w:ascii="Times New Roman" w:eastAsia="Times New Roman" w:hAnsi="Times New Roman" w:cs="Times New Roman"/>
          <w:sz w:val="24"/>
          <w:szCs w:val="24"/>
          <w:lang w:eastAsia="pt-BR"/>
        </w:rPr>
        <w:t>far-se</w:t>
      </w:r>
      <w:proofErr w:type="spellEnd"/>
      <w:r w:rsidRPr="000C786F">
        <w:rPr>
          <w:rFonts w:ascii="Times New Roman" w:eastAsia="Times New Roman" w:hAnsi="Times New Roman" w:cs="Times New Roman"/>
          <w:sz w:val="24"/>
          <w:szCs w:val="24"/>
          <w:lang w:eastAsia="pt-BR"/>
        </w:rPr>
        <w:t>- á na forma do art. 38 do Decreto nº 93.872, de 1986, observadas as seguintes condições: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esteja caracterizada a necessidade de adiantar recursos ao fornecedor para viabilizar a produção de material ou equipamento especial, fora da linha de produção usual, e com especificação singular destinada a empreendimento específico;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os equipamentos ou materiais que tenham peso significativo no orçamento das obras estejam posicionados nos canteiros;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o pagamento antecipado das parcelas tenha sido previsto no edital de licitação e no CTEF dos materiais ou equipamentos;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IV - o fornecedor ou o convenente apresentem uma carta fiança bancária ou instrumento congênere no valor do adiantamento pretendido.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 7º No caso de instrumentos firmados com entidades privadas sem fins lucrativos, cujo objeto seja a produção de unidades habitacionais amparadas por recursos do Fundo Nacional de Habitação de Interesse Social -FNHIS, executadas por regime de </w:t>
      </w:r>
      <w:r w:rsidRPr="000C786F">
        <w:rPr>
          <w:rFonts w:ascii="Times New Roman" w:eastAsia="Times New Roman" w:hAnsi="Times New Roman" w:cs="Times New Roman"/>
          <w:sz w:val="24"/>
          <w:szCs w:val="24"/>
          <w:lang w:eastAsia="pt-BR"/>
        </w:rPr>
        <w:lastRenderedPageBreak/>
        <w:t>Administração direta, poderá haver liberação do repasse de recursos para pagamento de materiais ou equipamentos postos em canteiro desde que seja apresentado pelo convenente Termo de Fiel Depositário, observado o § 6º do art. 12 da Lei nº 11.124, de 16 de junho de 2005.</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IV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DO ACOMPANHAMENTO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53. A execução será acompanhada e fiscalizada de forma a garantir a regularidade dos atos praticados e a plena execução do objeto, respondendo o convenente pelos danos causados a terceiros, decorrentes de culpa ou dolo na execução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Os agentes que fizerem parte do ciclo de transferência de recursos são responsáveis, para todos os efeitos, pelos atos que praticarem no acompanhamento e fiscalização da execução do instrumento, não cabendo a responsabilização do concedente por inconformidades ou irregularidades praticadas pelos convenentes, salvo nos casos em que as falhas decorrerem de omissão de responsabilidade atribuída ao concedente.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Os processos, documentos ou informações referentes à execução de instrumento não poderão ser sonegados aos servidores do órgão ou entidade pública concedente e dos órgãos de controle interno do Poder Executivo Federal e externo da União.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Aquele que, por ação ou omissão, causar embaraço, constrangimento ou obstáculo à atuação do concedente e dos órgãos de controle interno e externo do Poder Executivo Federal, no desempenho de suas funções institucionais relativas ao acompanhamento e fiscalização dos recursos federais transferidos, ficará sujeito à responsabilização administrativa, civil e penal.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54. O concedente deverá prover as condições necessárias à realização das atividades de acompanhamento do objeto pactuado, conforme o plano de trabalho e a metodologia estabelecida no instrumento, programando visitas ao local da execução, quando couber, observados os seguintes critérios: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na execução de obras e serviços e engenharia com valores de repasse iguais ou superiores a R$ 250.000,00 (duzentos e cinquenta mil reais) e inferiores a R$ 750.000,00 (setecentos e cinquenta mil reais), o acompanhamento e a conformidade financeira serão realizados por meio da verificação dos documentos inseridos no SICONV, bem como, pelas visitas in loco, realizadas considerando os marcos de execução de 50% (cinquenta por cento) e 100% (cem por cento) do cronograma físico, podendo ocorrer outras visitas quando identificada a necessidade pelo órgão concedente ou pela mandatária;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na execução de obras e serviços e engenharia com valores de repasse iguais ou superiores a R$ 750.000,00 (setecentos e cinquenta mil reais), e inferiores a R$ 5.000.000,00 (cinco milhões de reais), o acompanhamento e a conformidade financeira serão realizados por meio da verificação dos documentos inseridos no SICONV, bem como, visitas in loco realizadas considerando os marcos de execução de 30% (trinta por cento), 60% (sessenta por cento) e 100% (cem por cento) do cronograma físico, podendo ocorrer outras visitas quando identificada a necessidade pelo órgão concedente;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III - na execução de obras e serviços e engenharia com valores de repasse iguais ou superiores a R$ 5.000.000,00 (cinco milhões de reais), o acompanhamento e a conformidade financeira se dará por meio da verificação dos documentos inseridos no </w:t>
      </w:r>
      <w:r w:rsidRPr="000C786F">
        <w:rPr>
          <w:rFonts w:ascii="Times New Roman" w:eastAsia="Times New Roman" w:hAnsi="Times New Roman" w:cs="Times New Roman"/>
          <w:sz w:val="24"/>
          <w:szCs w:val="24"/>
          <w:lang w:eastAsia="pt-BR"/>
        </w:rPr>
        <w:lastRenderedPageBreak/>
        <w:t>SICONV, bem como com previsão de no mínimo 5 (cinco) visitas ao local, considerando a especificidade e o andamento da execução do objeto pactuado;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IV - na execução de custeio e aquisição de equipamentos com valores de repasse iguais ou superiores a R$ 100.000,00 (cem mil reais) e inferiores a R$ 750.000,00 (setecentos e cinquenta mil reais), o acompanhamento e a conformidade financeira será realizado por meio da verificação dos documentos inseridos no SICONV, podendo haver visitas ao local quando identificada a necessidade pelo órgão concedente;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V - na execução de custeio e aquisição de equipamentos com valores de repasse iguais ou superiores a R$ 750.000,00 (setecentos e cinquenta mil reais), o acompanhamento e a conformidade financeira será realizado por meio da verificação dos documentos inseridos no SICONV, bem como pelas visitas ao local, considerando a especificidade do objeto ajustado.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No caso de realização de obras e serviços de engenharia, a execução deverá ocorrer, obrigatoriamente, por meio de contrato de repasse, observadas as exceções do inciso I do art. 9º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Para os instrumentos enquadrados nos incisos III e V do caput, é vedada a liberação de duas parcelas consecutivas sem que o acompanhamento tenha sido realizado por meio de visitas in loco.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Na execução de obras e serviços de engenharia, a liberação dos recursos fica condicionada à apresentação pelo convenente dos boletins de medição com valor superior a 10% (dez por cento) do piso mínimo dos níveis previstos nos incisos I, II e III do art. 3º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Nos convênios cujo objeto seja voltado exclusivamente para a aquisição de equipamentos, a liberação dos recursos deverá ocorrer, preferencialmente, em parcela única.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55. A execução do instrumento será acompanhada por um representante do concedente ou mandatária, registrado no SICONV, que anotará em registro próprio todas as ocorrências relacionadas à consecução do objeto, adotando as medidas necessárias à regularização das falhas observadas.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No prazo máximo de 10 (dez) dias contado da assinatura do instrumento, o concedente ou a mandatária deverá designar formalmente os servidores ou empregados responsáveis pelo seu acompanhamento.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O concedente ou mandatária deverá registrar no SICONV os atos de acompanhamento da execução do objeto e fiscalização do instrumento, conforme disposto no art. 4º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O concedente ou a mandatária, no exercício das atividades de acompanhamento dos instrumentos, poderão: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valer-se do apoio técnico de terceiros que, no caso dos empreendimentos enquadrados no inciso III do art. 3º desta Portaria, deve ser acompanhado por funcionário do quadro permanente da mandatária, que participará da equipe e assinará em conjunto os documentos técnicos;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II - delegar competência ou firmar parcerias com outros órgãos ou entidades que se situem próximos ao local de aplicação dos recursos, com tal finalidade;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reorientar ações e decidir quanto à aceitação de justificativas sobre impropriedades identificadas na execução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56. No acompanhamento da execução do objeto serão verificados: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a comprovação da boa e regular aplicação dos recursos, na forma da legislação aplicável;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a compatibilidade entre a execução do objeto, o que foi estabelecido no plano de trabalho, e os desembolsos e pagamentos, conforme os cronogramas apresentados;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a regularidade das informações registradas pelo convenente no SICONV;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IV - o cumprimento das metas do plano de trabalho nas condições estabelecidas.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Parágrafo único. A conformidade financeira deverá ser aferida durante toda a execução do objeto, devendo ser complementada pelo acompanhamento e avaliação do cumprimento da execução física do cumprimento do objeto, quando da análise da prestação de contas final.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57. O concedente ou a mandatária comunicará ao convenente quaisquer irregularidades decorrentes do uso dos recursos ou outras pendências de ordem técnica, apurados durante a execução do instrumento, e suspenderão a liberação dos recursos, fixando prazo de 45 (quarenta e cinco) dias para saneamento ou apresentação de informações e esclarecimentos, podendo ser prorrogado por igual período.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Recebidos os esclarecimentos e informações solicitados, o concedente ou mandatária, no prazo de 45 (quarenta e cinco) dias, apreciará, decidirá e comunicará quanto à aceitação ou não das justificativas apresentadas e, se for o caso, realizará a apuração do dano ao erário.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 2º Caso as justificativas não sejam acatadas, o concedente abrirá prazo de 45 (quarenta e cinco) dias para o convenente regularizar a pendência e, havendo </w:t>
      </w:r>
      <w:proofErr w:type="spellStart"/>
      <w:r w:rsidRPr="000C786F">
        <w:rPr>
          <w:rFonts w:ascii="Times New Roman" w:eastAsia="Times New Roman" w:hAnsi="Times New Roman" w:cs="Times New Roman"/>
          <w:sz w:val="24"/>
          <w:szCs w:val="24"/>
          <w:lang w:eastAsia="pt-BR"/>
        </w:rPr>
        <w:t>dano</w:t>
      </w:r>
      <w:proofErr w:type="spellEnd"/>
      <w:r w:rsidRPr="000C786F">
        <w:rPr>
          <w:rFonts w:ascii="Times New Roman" w:eastAsia="Times New Roman" w:hAnsi="Times New Roman" w:cs="Times New Roman"/>
          <w:sz w:val="24"/>
          <w:szCs w:val="24"/>
          <w:lang w:eastAsia="pt-BR"/>
        </w:rPr>
        <w:t xml:space="preserve"> ao erário, deverá adotar as medidas necessárias ao respectivo ressarcimento.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 3º A utilização dos recursos em desconformidade com o pactuado no instrumento ensejará obrigação do convenente </w:t>
      </w:r>
      <w:proofErr w:type="spellStart"/>
      <w:r w:rsidRPr="000C786F">
        <w:rPr>
          <w:rFonts w:ascii="Times New Roman" w:eastAsia="Times New Roman" w:hAnsi="Times New Roman" w:cs="Times New Roman"/>
          <w:sz w:val="24"/>
          <w:szCs w:val="24"/>
          <w:lang w:eastAsia="pt-BR"/>
        </w:rPr>
        <w:t>devolvê</w:t>
      </w:r>
      <w:proofErr w:type="spellEnd"/>
      <w:r w:rsidRPr="000C786F">
        <w:rPr>
          <w:rFonts w:ascii="Times New Roman" w:eastAsia="Times New Roman" w:hAnsi="Times New Roman" w:cs="Times New Roman"/>
          <w:sz w:val="24"/>
          <w:szCs w:val="24"/>
          <w:lang w:eastAsia="pt-BR"/>
        </w:rPr>
        <w:t xml:space="preserve">- </w:t>
      </w:r>
      <w:proofErr w:type="spellStart"/>
      <w:r w:rsidRPr="000C786F">
        <w:rPr>
          <w:rFonts w:ascii="Times New Roman" w:eastAsia="Times New Roman" w:hAnsi="Times New Roman" w:cs="Times New Roman"/>
          <w:sz w:val="24"/>
          <w:szCs w:val="24"/>
          <w:lang w:eastAsia="pt-BR"/>
        </w:rPr>
        <w:t>los</w:t>
      </w:r>
      <w:proofErr w:type="spellEnd"/>
      <w:r w:rsidRPr="000C786F">
        <w:rPr>
          <w:rFonts w:ascii="Times New Roman" w:eastAsia="Times New Roman" w:hAnsi="Times New Roman" w:cs="Times New Roman"/>
          <w:sz w:val="24"/>
          <w:szCs w:val="24"/>
          <w:lang w:eastAsia="pt-BR"/>
        </w:rPr>
        <w:t xml:space="preserve"> devidamente atualizados, conforme exigido para a quitação de débitos para com a Fazenda Nacional, com base na variação da Taxa Referencial do Sistema Especial de Liquidação e de Custódia - SELIC, acumulada mensalmente, até o último dia do mês anterior ao da devolução dos recursos, acrescido esse montante de 1% (um por cento) no mês de efetivação da devolução dos recursos à conta única do Tesouro.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Para fins de efetivação da devolução dos recursos à União, a parcela de atualização referente à variação da SELIC será calculada proporcionalmente à quantidade de dias compreendida entre a data da liberação da parcela para o convenente e a data de efetivo crédito, na conta única do Tesouro, do montante devido pelo convenente.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 5º A permanência da irregularidade após o prazo estabelecido no § 2º deste artigo, ensejará o registro de inadimplência no SICONV e, no caso de dano ao erário, a imediata instauração de tomada de contas especial.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6º As comunicações elencadas no caput e nos §§ 1º e 2º deste artigo serão realizadas por meio de correspondência com aviso de recebimento - AR, devendo a notificação ser registrada no SICONV, e em ambos os casos com cópia para a respectiva Secretaria da Fazenda ou secretaria similar, e para o Poder Legislativo do órgão responsável pelo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58. O concedente deverá comunicar os Ministérios Públicos Federal e Estadual e à Advocacia-Geral da União quando detectados indícios de crime ou ato de improbidade administrativa.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 PRESTAÇÃO DE CONTAS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59. O órgão ou entidade que receber recursos na forma estabelecida nesta Portaria estará sujeito a prestar contas da sua boa e regular aplicação, observando-se o seguinte: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a prestação de contas inicia-se concomitantemente com a liberação da primeira parcela dos recursos financeiros que deverá ser registrada pelo concedente no SICONV;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o registro e a verificação da conformidade financeira, parte integrante do processo de prestação de contas, deverão ser realizados durante todo o período de execução do instrumento, conforme disposto no art. 56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o prazo para apresentação da prestação de contas final será de até 60 (sessenta) dias após o encerramento da vigência ou a conclusão da execução do objeto, o que ocorrer primeiro;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IV - o prazo mencionado no inciso III constará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Quando a prestação de contas não for encaminhada no prazo estabelecido no instrumento, o concedente estabelecerá o prazo máximo de 45 (quarenta e cinco) dias para sua apresentação.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Para os instrumentos em que não tenha havido qualquer execução física, nem utilização dos recursos, o recolhimento à conta única do Tesouro deverá ocorrer sem a incidência dos juros de mora, sem prejuízo da restituição das receitas obtidas nas aplicações financeiras realizadas.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Se, ao término do prazo estabelecido, o convenente não apresentar a prestação de contas nem devolver os recursos nos termos do § 2º deste artigo, o concedente registrará a inadimplência no SICONV por omissão do dever de prestar contas e comunicará o fato ao órgão de contabilidade analítica a que estiver vinculado, para fins de instauração de tomada de contas especial sob aquele argumento e adoção de outras medidas para reparação do dano ao erário, sob pena de responsabilização solidária.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Cabe ao representante legal da entidade sem fins lucrativos, ao prefeito e ao governador sucessor prestar contas dos recursos provenientes de instrumentos firmados pelos seus antecessores.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 5º Na impossibilidade de atender ao disposto no § 4º, deverá ser apresentado ao concedente justificativas que demonstrem o impedimento de prestar contas e as medidas adotadas para o resguardo do patrimônio público.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6º Quando a impossibilidade de prestar contas decorrer de ação ou omissão do antecessor, o novo administrador solicitará ao concedente a instauração de tomada de contas especial.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7º Os documentos que contenham as justificativas e medidas adotadas serão inseridos no SICONV.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8º No caso de o convenente ser órgão ou entidade pública, de qualquer esfera de governo, a autoridade competente, ao ser comunicada das medidas adotadas, suspenderá de imediato o registro da inadimplência, desde que o administrador seja outro que não o faltoso, e seja atendido o disposto nos §§ 5º, 6º e 7º deste artigo.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9º Os convenentes deverão ser notificados previamente sobre as irregularidades apontadas, devendo ser incluída no aviso a respectiva Secretaria da Fazenda ou secretaria similar, e o Poder Legislativo do órgão responsável pelo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10. A notificação prévia, prevista no § 9º deste artigo, será feita por meio de correspondência com aviso de recebimento - AR, com cópia para a respectiva Secretaria da Fazenda ou secretaria similar e para o Poder Legislativo do órgão responsável pelo instrumento, devendo a notificação ser registrada no SICONV.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11. O registro da inadimplência no SICONV só será efetivado 45 (quarenta e cinco) dias após a notificação prévia.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60. Os saldos financeiros de recursos de repasse remanescentes, inclusive os provenientes das receitas obtidas nas aplicações financeiras realizadas, não utilizadas no objeto pactuado, serão devolvidos à Conta Única do Tesouro, no prazo improrrogável de 30 (trinta) dias da conclusão, denúncia, rescisão ou extinção do instrumento, sob pena da imediata instauração de tomada de contas especial do responsável, providenciada pela autoridade competente do órgão ou entidade concedente.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A devolução prevista no caput será realizada observando-se a proporcionalidade dos recursos transferidos e os da contrapartida previstos na celebração independentemente da época em que foram aportados pelas partes.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 2º Nos casos de descumprimento do prazo previsto no caput, o concedente deverá solicitar a instituição financeira </w:t>
      </w:r>
      <w:proofErr w:type="spellStart"/>
      <w:r w:rsidRPr="000C786F">
        <w:rPr>
          <w:rFonts w:ascii="Times New Roman" w:eastAsia="Times New Roman" w:hAnsi="Times New Roman" w:cs="Times New Roman"/>
          <w:sz w:val="24"/>
          <w:szCs w:val="24"/>
          <w:lang w:eastAsia="pt-BR"/>
        </w:rPr>
        <w:t>albergante</w:t>
      </w:r>
      <w:proofErr w:type="spellEnd"/>
      <w:r w:rsidRPr="000C786F">
        <w:rPr>
          <w:rFonts w:ascii="Times New Roman" w:eastAsia="Times New Roman" w:hAnsi="Times New Roman" w:cs="Times New Roman"/>
          <w:sz w:val="24"/>
          <w:szCs w:val="24"/>
          <w:lang w:eastAsia="pt-BR"/>
        </w:rPr>
        <w:t xml:space="preserve"> da conta corrente específica da transferência, a devolução imediata, para a conta única do Tesouro Nacional, dos saldos remanescentes da conta corrente específica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Nos casos em que a devolução de recursos se der em função da não execução do objeto pactuado ou devido a extinção ou rescisão do instrumento, é obrigatória a divulgação em sítio eletrônico institucional, pelo concedente e convenente, das informações referentes aos valores devolvidos e dos motivos que deram causa à referida devolução.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61. A prestação de contas final tem por objetivo a demonstração e a verificação de resultados e deve conter elementos que permitam avaliar a execução do objeto e o alcance das metas previstas.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Art. 62. A prestação de contas será composta, além dos documentos e informações registradas pelo convenente no SICONV, pelo seguinte: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Relatório de Cumprimento do Objeto;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declaração de realização dos objetivos a que se propunha 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comprovante de recolhimento do saldo de recursos, quando houver;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IV - termo de compromisso por meio do qual o convenente será obrigado a manter os documentos relacionados ao instrumento, nos termos do § 3º do art. 4º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O concedente ou a mandatária deverá registrar no SI- CONV o recebimento da prestação de contas.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A análise da prestação de contas para avaliação do cumprimento do objeto, será feita no encerramento do instrumento, cabendo este procedimento ao concedente ou à mandatária com base nas informações contidas nos documentos relacionados nos incisos do caput deste artigo.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A conformidade financeira deverá ser realizada durante o período de vigência do instrumento, devendo constar do parecer final de análise da prestação de contas somente impropriedades ou irregularidades não sanadas até a finalização do documento conclusivo.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O Relatório de Cumprimento do Objeto deverá conter os subsídios necessários para a avaliação e manifestação do gestor quanto a efetiva conclusão do objeto pactuado.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5º A análise da prestação de contas, além do ateste da conclusão da execução física do objeto, conterá os apontamentos relativos a execução financeira não sanados durante o período de vigência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6º Objetivando a complementação dos elementos necessários à análise da prestação de contas dos instrumentos, poderá ser utilizado subsidiariamente pelo concedente ou pela mandatária, relatórios, boletins de verificação ou outros documentos produzidos pelo Ministério Público ou pela Corte de Contas, durante as atividades regulares de suas funções.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63. Incumbe ao órgão ou entidade concedente decidir sobre a regularidade da aplicação dos recursos transferidos e, se extinto, ao seu sucessor.</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64. A autoridade competente do concedente ou a mandatária terá o prazo de um ano, contado da data do recebimento, para analisar a prestação de contas do instrumento, com fundamento no parecer técnico expedido pelas áreas competentes.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O prazo de análise previsto no caput poderá ser prorrogado no máximo por igual período, desde que devidamente justificado.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A análise da prestação de contas pelo concedente ou pela mandatária poderá resultar em:</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aprovação;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 xml:space="preserve">II - aprovação com ressalvas, quando evidenciada impropriedade ou outra falta de natureza formal de que não resulte </w:t>
      </w:r>
      <w:proofErr w:type="spellStart"/>
      <w:r w:rsidRPr="000C786F">
        <w:rPr>
          <w:rFonts w:ascii="Times New Roman" w:eastAsia="Times New Roman" w:hAnsi="Times New Roman" w:cs="Times New Roman"/>
          <w:sz w:val="24"/>
          <w:szCs w:val="24"/>
          <w:lang w:eastAsia="pt-BR"/>
        </w:rPr>
        <w:t>dano</w:t>
      </w:r>
      <w:proofErr w:type="spellEnd"/>
      <w:r w:rsidRPr="000C786F">
        <w:rPr>
          <w:rFonts w:ascii="Times New Roman" w:eastAsia="Times New Roman" w:hAnsi="Times New Roman" w:cs="Times New Roman"/>
          <w:sz w:val="24"/>
          <w:szCs w:val="24"/>
          <w:lang w:eastAsia="pt-BR"/>
        </w:rPr>
        <w:t xml:space="preserve"> ao erário; ou</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rejeição com a determinação da imediata instauração de tomada de contas especial.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Nos casos de rejeição da prestação de contas em que o valor do dano ao erário seja inferior a R$ 5.000,00 (cinco mil reais), o concedente ou a mandatária poderá, mediante justificativa e registro do inadimplemento no CADIN, aprovar a prestação de contas com ressalva.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4º O ato de aprovação da prestação de contas deverá ser registrado no SICONV, cabendo ao concedente prestar declaração expressa acerca do cumprimento do objeto e de que os recursos transferidos tiveram boa e regular aplicação.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5º Caso a prestação de contas não seja aprovada, exauridas todas as providências cabíveis para regularização da pendência ou reparação do dano, a autoridade competente, sob pena de responsabilização solidária, registrará o fato no SICONV e adotará as providências necessárias à instauração da Tomada de Contas Especial, com posterior encaminhamento do processo à unidade setorial de contabilidade a que estiver jurisdicionado para os devidos registros de sua competência.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6º Findo o prazo de que trata o caput, considerada eventual prorrogação nos termos do §1º, a ausência de decisão sobre a aprovação da prestação de contas pelo concedente poderá resultar no registro de restrição contábil do órgão ou entidade pública referente ao exercício em que ocorreu o fato.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CAPITULO VI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DO REGIME SIMPLIFICADO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65. À celebração, execução, acompanhamento e a prestação de contas dos instrumentos enquadrados nos incisos I e IV do art. 3º desta Portaria, aplicar-se-á o Regime Simplificado.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66. A aplicação do Regime Simplificado implica na adoção das seguintes medidas: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Nível 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o plano de trabalho aprovado deverá conter parâmetros objetivos para caracterizar o cumprimento do objeto;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o cronograma de desembolso poderá estabelecer o montante da 1ª parcela considerando que os recursos sejam suficientes para a execução dos 4 (quatro) primeiros meses, limitado a até 20% (vinte por cento) do valor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c) a minuta dos instrumentos poderá ser simplificada;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d) é vedada a repactuação de metas e etapas;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e) a apresentação do processo licitatório pelo convenente e aceitação pelo concedente é condição para a liberação da primeira parcela dos recursos;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f) a autorização de início de obra só se dará após o recebimento da primeira parcela dos recursos;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g) a acompanhamento pelo concedente será realizado por meio dos documentos inseridos no SICONV, bem como pelas visitas in loco realizadas considerando os marcos de execução de 50% (cinquenta por cento) e 100% (cem por cento) do cronograma físico, podendo ocorrer outras visitas quando identificada a necessidade pelo órgão concedente ou pela mandatária;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h) a verificação da execução do objeto ocorre mediante comprovação da compatibilidade com o projeto e a conclusão da fase ou etapa prevista no plano de trabalho, sem a necessidade de medição de serviços unitários executados que não compõem etapa concluída;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a análise da prestação de contas final deverá comprovar os resultados considerando os parâmetros objetivos especificados no plano de trabalho, a partir das definições constantes do programa de governo;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j) as obras de construção, exceto reforma ou obras lineares, deverão, necessariamente, ser contratadas por regime de execução por preço global;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k) para a aprovação da prestação de contas, o concedente deverá considerar o atingimento dos resultados propostos, além de eventuais apontamentos ocorridos durante a conformidade financeira não sanados até o final da vigência do instrumento;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Nível IV: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o plano de trabalho aprovado deverá conter parâmetros objetivos para caracterizar a entrega do objeto;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o concedente deverá avaliar a possibilidade de se estabelecer parcela única para liberação dos recursos;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c) a minuta dos instrumentos poderá ser simplificada;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d) o termo de referência deverá ser aprovado previamente à celebração dos instrumentos;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e) é vedada a repactuação de metas e etapas;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f) a apresentação do processo licitatório pelo convenente e aprovação pelo concedente é condição para a liberação dos recursos;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g) o acompanhamento será realizado por meio dos documentos inseridos no SICONV, podendo haver visitas ao local quando identificada a necessidade pelo órgão concedente;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h) a análise da prestação de contas final deverá priorizar a verificação dos resultados atingidos, considerando os parâmetros especificados no momento da celebração;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Parágrafo único. O Ministério da Transparência, Fiscalização e Controladoria-Geral da União, poderá estabelecer critérios de amostragem para análise da prestação de contas dos instrumentos celebrados sob o regime simplificado.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Art. 67. No caso de irregularidades ou de descumprimento pelo convenente das condições estabelecidas no art. 66 desta Portaria, o concedente ou a mandatária suspenderá a liberação das parcelas, até a regularização da pendência.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O concedente ou à mandatária notificará o convenente cuja utilização dos recursos transferidos for considerada irregular, para que apresente justificativa no prazo de 30 (trinta) dias.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Caso não aceitas as razões apresentadas pelo convenente, o concedente fixará prazo de 30 (trinta) dias para a devolução dos recursos, observado o disposto nos §§ 3º e 4º do art. 57 desta Portaria, e não havendo a referida devolução, providenciará a instauração da Tomadas de Contas Especial.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VII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 DENÚNCIA E DA RESCISÃO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68. O instrumento poderá ser denunciado a qualquer tempo, ficando os partícipes responsáveis somente pelas obrigações e auferindo as vantagens do tempo em que participaram voluntariamente da avença, não sendo admissível cláusula obrigatória de permanência ou sancionadora dos denunciantes.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Quando da conclusão, denúncia, rescisão ou extinção do instrumento, os saldos financeiros remanescentes, inclusive os provenientes das receitas obtidas das aplicações financeiras realizadas, serão devolvidos à conta única do Tesouro, no prazo improrrogável de trinta dias do evento, sob pena da imediata instauração de tomada de contas especial do responsável, providenciada pela autoridade competente do órgão ou entidade titular dos recursos.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Em sendo evidenciados pelos órgãos de controle ou Ministério Publico vícios insanáveis que impliquem nulidade da licitação realizada, o concedente deverá adotar as medidas administrativas necessárias à recomposição do erário no montante atualizado da parcela já aplicada, o que pode incluir a reversão da aprovação da prestação de contas e a instauração de Tomada de Contas Especial, independentemente da comunicação do fato ao Tribunal de Contas da União e ao Ministério Público.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69. Constituem motivos para rescisão do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o inadimplemento de qualquer das cláusulas pactuadas;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a constatação, a qualquer tempo, de falsidade ou in- correção de informação em qualquer documento apresentado;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III - a verificação de qualquer circunstância que enseje a instauração de tomada de contas especial;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IV - a ocorrência da inexecução financeira mencionada no § 8º do art. 41 e comprovada segundo instruído no § 9º desse mesmo artigo.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xml:space="preserve">Parágrafo único. A rescisão do instrumento, quando resulte </w:t>
      </w:r>
      <w:proofErr w:type="spellStart"/>
      <w:r w:rsidRPr="000C786F">
        <w:rPr>
          <w:rFonts w:ascii="Times New Roman" w:eastAsia="Times New Roman" w:hAnsi="Times New Roman" w:cs="Times New Roman"/>
          <w:sz w:val="24"/>
          <w:szCs w:val="24"/>
          <w:lang w:eastAsia="pt-BR"/>
        </w:rPr>
        <w:t>dano</w:t>
      </w:r>
      <w:proofErr w:type="spellEnd"/>
      <w:r w:rsidRPr="000C786F">
        <w:rPr>
          <w:rFonts w:ascii="Times New Roman" w:eastAsia="Times New Roman" w:hAnsi="Times New Roman" w:cs="Times New Roman"/>
          <w:sz w:val="24"/>
          <w:szCs w:val="24"/>
          <w:lang w:eastAsia="pt-BR"/>
        </w:rPr>
        <w:t xml:space="preserve"> ao erário, enseja a instauração de tomada de contas especial, exceto se houver a devolução dos recursos devidamente corrigidos, sem prejuízo, no último caso, da continuidade da apuração, por </w:t>
      </w:r>
      <w:r w:rsidRPr="000C786F">
        <w:rPr>
          <w:rFonts w:ascii="Times New Roman" w:eastAsia="Times New Roman" w:hAnsi="Times New Roman" w:cs="Times New Roman"/>
          <w:sz w:val="24"/>
          <w:szCs w:val="24"/>
          <w:lang w:eastAsia="pt-BR"/>
        </w:rPr>
        <w:lastRenderedPageBreak/>
        <w:t>medidas administrativas próprias, quando identificadas outras irregularidades decorrentes do ato praticado.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CAPÍTULO VIII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 TOMADA DE CONTAS ESPECIAL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70. A Tomada de Contas Especial é o processo que objetiva apurar os fatos, identificar os responsáveis e quantificar o dano causado ao Erário, visando ao seu imediato ressarcimento.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1º A Tomada de Contas Especial somente deverá ser instaurada depois de esgotadas as providências administrativas a cargo do concedente pela ocorrência de algum dos seguintes fatos: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a prestação de contas do instrumento não for apresentada no prazo fixado no inciso III do art. 59, observado o § 1º do referido artigo desta Portaria; e II - a prestação de contas do instrumento não for aprovada em decorrência de: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inexecução total ou parcial do objeto pactuado;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desvio de finalidade na aplicação dos recursos transferidos;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c) impugnação de despesas, se realizadas em desacordo com as disposições do termo celebrado ou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d) não utilização, total ou parcial, da contrapartida pactuada, na hipótese de não haver sido recolhida na forma prevista no § 1º do art. 60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e) inobservância do prescrito no § 4º do art. 41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f) não devolução de eventual saldo de recursos federais, apurado na execução do objeto, nos termos do art. 60 desta Portaria;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g) ausência de documentos exigidos na prestação de contas que comprometa o julgamento do cumprimento do objeto pactuado e da boa e regular aplicação dos recursos.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2º A Tomada de Contas Especial será instaurada, ainda, por determinação dos órgãos de controle interno ou do Tribunal de Contas da União, no caso de omissão da autoridade competente em adotar essa medida.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3º A instauração de Tomada de Contas Especial ensejará:</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a inscrição de inadimplência do respectivo instrumento no SICONV, o que será fator restritivo a novas transferências de recursos financeiros oriundos do Orçamento Fiscal e da Seguridade Social da União mediante a celebração de instrumentos regulados por esta Portaria, nos termos da alínea "b" do inciso VI do art. 9º desta Portaria; e" (NR) (Alterado pela PORTARIA INTERMINISTERIAL Nº 101, DE 20 DE ABRIL DE 2017).</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o registro daqueles identificados como causadores do dano ao erário na conta "DIVERSOS RESPONSÁVEIS" do SIAFI.</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 4º Os convenentes deverão ser notificados previamente sobre as irregularidades apontadas, devendo ser incluída no aviso a respectiva Secretaria da Fazenda ou secretaria similar e o Poder Legislativo do órgão responsável pelo instrumento.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5º A notificação prévia será feita por meio de carta registrada com declaração de conteúdo, com cópia para a respectiva Secretaria da Fazenda ou secretaria similar, e para o Poder Legislativo do órgão responsável pelo instrumento, devendo a notificação ser registrada no SICONV.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 6º O registro da inadimplência no SICONV só poderá ser realizado 45 (quarenta e cinco) dias após a notificação prévia.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71. No caso da apresentação da prestação de contas ou recolhimento integral do débito imputado, antes do encaminhamento da Tomada de Contas Especial ao Tribunal de Contas da União, deverá ser retirado o registro da inadimplência no SICONV, procedida a análise da documentação e adotados os seguintes procedimentos: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aprovada a prestação de contas ou comprovado o recolhimento do débito, o concedente deverá:</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registrar a aprovação no SICONV;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comunicar a aprovação ao órgão onde se encontre a Tomada de Contas Especial, visando o arquivamento do processo;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c) registrar a baixa da responsabilidade;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d) dar conhecimento do fato ao Tribunal de Contas da União, em forma de anexo, quando da prestação de contas anual do concedente;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não aprovada a prestação de contas, o concedente deverá:</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comunicar o fato ao órgão onde se encontre a Tomada de Contas Especial para que adote as providências necessárias ao prosseguimento do feito, sob esse novo fundamento;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reinscrever a inadimplência do órgão ou entidade convenente e manter a inscrição de responsabilidade.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72. No caso da apresentação da prestação de contas ou recolhimento integral do débito imputado, após o encaminhamento da tomada de contas especial ao Tribunal de Contas da União, proceder-se-á à retirada do registro da inadimplência,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 - aprovada a prestação de contas ou comprovado o recolhimento integral do débito imputado: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 comunicar-se-á o fato à respectiva unidade de controle interno que certificou as contas para adoção de providências junto ao Tribunal de Contas da União;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manter-se-á a baixa da inadimplência, bem como a inscrição da responsabilidade apurada, que só poderá ser alterada mediante determinação do Tribunal;</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II - não sendo aprovada a prestação de contas: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lastRenderedPageBreak/>
        <w:t>a) comunicar-se-á o fato à unidade de controle interno que certificou as contas para adoção de providências junto ao Tribunal de Contas da União; 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b) reinscrever-se-á a inadimplência do órgão ou entidade convenente, observadas as disposições dos §§ 4º, 5º e 6º do art. 70 desta Portaria, e manter-se-á a inscrição de responsabilidade.</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TÍTULO 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b/>
          <w:bCs/>
          <w:sz w:val="24"/>
          <w:szCs w:val="24"/>
          <w:lang w:eastAsia="pt-BR"/>
        </w:rPr>
        <w:t>DAS DISPOSIÇÕES FINAIS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73. Na contagem dos prazos estabelecidos nesta Portaria, excluir-se-á o dia do início e incluir-se-á o do vencimento, e considerar-se-ão os dias consecutivos, exceto quando for explicitamente disposto em contrário.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74. Os órgãos responsáveis pelos programas e ações com previsão de execução descentralizada por meio de instrumentos, deverão buscar a padronização dos objetos, com vistas à agilização de procedimentos e racionalização na utilização dos recursos.</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75. O SICONV disponibilizará acesso, com o perfil de consulta a todas as funcionalidades, ao Tribunal de Contas da União, ao Ministério Público Federal, ao Congresso Nacional e ao Ministério da Transparência, Fiscalização e Controladoria-Geral da União.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76. O Ministério do Planejamento, Desenvolvimento e Gestão poderá, por meio de instrução normativa, estabelecer indicadores de eficiência e eficácia com vistas a subsidiar a seleção dos proponentes aptos à execução das políticas públicas da União.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77. Todos os atos referentes à celebração, execução, acompanhamento e fiscalização e prestação de contas dos instrumentos deverão ser realizados ou registrados em módulo específico do SICONV.</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78. Os órgãos e entidades da Administração Pública Federal, repassadores de recursos financeiros oriundos do Orçamento Fiscal e da Seguridade Social da União, referidos no art. 1º desta Portaria, deverão disponibilizar no SICONV seus programas, projetos e atividades, conforme previsto no art. 5º desta Portaria.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79. As novas funcionalidades do SICONV, bem como outras alterações decorrentes desta Portaria, deverão ser implementadas no Sistema de acordo com o cronograma a ser definido pelo Órgão Central do Sistema.</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80. Os casos omissos serão dirimidos na forma do § 4º do art. 13 do Decreto nº 6.170, de 2007.</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81. Esta Portaria entra em vigor na data de sua publicação.</w:t>
      </w:r>
    </w:p>
    <w:p w:rsidR="000C786F" w:rsidRPr="000C786F" w:rsidRDefault="000C786F" w:rsidP="000C786F">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C786F">
        <w:rPr>
          <w:rFonts w:ascii="Times New Roman" w:eastAsia="Times New Roman" w:hAnsi="Times New Roman" w:cs="Times New Roman"/>
          <w:sz w:val="24"/>
          <w:szCs w:val="24"/>
          <w:lang w:eastAsia="pt-BR"/>
        </w:rPr>
        <w:t>Art. 82. Ficam revogadas a Portaria Interministerial MP/MF/CGU nº 507, de 24 de novembro de 2011, e a Instrução Normativa nº 01, de 15 de janeiro de 1997, da Secretaria do Tesouro Nacional.</w:t>
      </w:r>
    </w:p>
    <w:p w:rsidR="000C786F" w:rsidRDefault="000C786F" w:rsidP="000C786F">
      <w:pPr>
        <w:pStyle w:val="SemEspaamento"/>
        <w:rPr>
          <w:lang w:eastAsia="pt-BR"/>
        </w:rPr>
      </w:pPr>
      <w:r w:rsidRPr="000C786F">
        <w:rPr>
          <w:lang w:eastAsia="pt-BR"/>
        </w:rPr>
        <w:t>DYOGO HENRIQUE DE OLIVEIRA</w:t>
      </w:r>
    </w:p>
    <w:p w:rsidR="000C786F" w:rsidRPr="000C786F" w:rsidRDefault="000C786F" w:rsidP="000C786F">
      <w:pPr>
        <w:pStyle w:val="SemEspaamento"/>
        <w:rPr>
          <w:lang w:eastAsia="pt-BR"/>
        </w:rPr>
      </w:pPr>
      <w:r w:rsidRPr="000C786F">
        <w:rPr>
          <w:lang w:eastAsia="pt-BR"/>
        </w:rPr>
        <w:t>Ministro de Estado do Planejamento, Desenvolvimento e Gestão Interino</w:t>
      </w:r>
    </w:p>
    <w:p w:rsidR="000C786F" w:rsidRPr="000C786F" w:rsidRDefault="000C786F" w:rsidP="000C786F">
      <w:pPr>
        <w:pStyle w:val="SemEspaamento"/>
        <w:rPr>
          <w:lang w:eastAsia="pt-BR"/>
        </w:rPr>
      </w:pPr>
      <w:r w:rsidRPr="000C786F">
        <w:rPr>
          <w:lang w:eastAsia="pt-BR"/>
        </w:rPr>
        <w:t>HENRIQUE DE CAMPOS MEIRELLES</w:t>
      </w:r>
    </w:p>
    <w:p w:rsidR="000C786F" w:rsidRPr="000C786F" w:rsidRDefault="000C786F" w:rsidP="000C786F">
      <w:pPr>
        <w:pStyle w:val="SemEspaamento"/>
        <w:rPr>
          <w:lang w:eastAsia="pt-BR"/>
        </w:rPr>
      </w:pPr>
      <w:r w:rsidRPr="000C786F">
        <w:rPr>
          <w:lang w:eastAsia="pt-BR"/>
        </w:rPr>
        <w:lastRenderedPageBreak/>
        <w:t>Ministro de Estado da Fazenda</w:t>
      </w:r>
    </w:p>
    <w:p w:rsidR="000C786F" w:rsidRPr="000C786F" w:rsidRDefault="000C786F" w:rsidP="000C786F">
      <w:pPr>
        <w:pStyle w:val="SemEspaamento"/>
        <w:rPr>
          <w:lang w:eastAsia="pt-BR"/>
        </w:rPr>
      </w:pPr>
      <w:r w:rsidRPr="000C786F">
        <w:rPr>
          <w:lang w:eastAsia="pt-BR"/>
        </w:rPr>
        <w:t>TORQUATO JARDIM</w:t>
      </w:r>
    </w:p>
    <w:p w:rsidR="000C786F" w:rsidRPr="000C786F" w:rsidRDefault="000C786F" w:rsidP="000C786F">
      <w:pPr>
        <w:pStyle w:val="SemEspaamento"/>
        <w:rPr>
          <w:lang w:eastAsia="pt-BR"/>
        </w:rPr>
      </w:pPr>
      <w:r w:rsidRPr="000C786F">
        <w:rPr>
          <w:lang w:eastAsia="pt-BR"/>
        </w:rPr>
        <w:t>Ministro de Estado da Transparência, Fiscalização e Controladoria-Geral da União </w:t>
      </w:r>
    </w:p>
    <w:p w:rsidR="00B53811" w:rsidRDefault="00B53811" w:rsidP="000C786F">
      <w:pPr>
        <w:pStyle w:val="SemEspaamento"/>
      </w:pPr>
    </w:p>
    <w:sectPr w:rsidR="00B53811" w:rsidSect="000C786F">
      <w:pgSz w:w="11906" w:h="16838"/>
      <w:pgMar w:top="1134" w:right="1701"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2D192F"/>
    <w:multiLevelType w:val="multilevel"/>
    <w:tmpl w:val="B33A6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79650D"/>
    <w:multiLevelType w:val="multilevel"/>
    <w:tmpl w:val="DE667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DF0B01"/>
    <w:multiLevelType w:val="multilevel"/>
    <w:tmpl w:val="D1A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E32623"/>
    <w:multiLevelType w:val="multilevel"/>
    <w:tmpl w:val="747E8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7A93081"/>
    <w:multiLevelType w:val="multilevel"/>
    <w:tmpl w:val="1938E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30736D6"/>
    <w:multiLevelType w:val="multilevel"/>
    <w:tmpl w:val="C562D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86F"/>
    <w:rsid w:val="000C786F"/>
    <w:rsid w:val="00B5381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7F87D7-FA30-40DD-8D40-49C295471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har"/>
    <w:uiPriority w:val="9"/>
    <w:qFormat/>
    <w:rsid w:val="000C786F"/>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0C786F"/>
    <w:rPr>
      <w:rFonts w:ascii="Times New Roman" w:eastAsia="Times New Roman" w:hAnsi="Times New Roman" w:cs="Times New Roman"/>
      <w:b/>
      <w:bCs/>
      <w:sz w:val="36"/>
      <w:szCs w:val="36"/>
      <w:lang w:eastAsia="pt-BR"/>
    </w:rPr>
  </w:style>
  <w:style w:type="character" w:customStyle="1" w:styleId="documentcategory">
    <w:name w:val="documentcategory"/>
    <w:basedOn w:val="Fontepargpadro"/>
    <w:rsid w:val="000C786F"/>
  </w:style>
  <w:style w:type="paragraph" w:styleId="NormalWeb">
    <w:name w:val="Normal (Web)"/>
    <w:basedOn w:val="Normal"/>
    <w:uiPriority w:val="99"/>
    <w:semiHidden/>
    <w:unhideWhenUsed/>
    <w:rsid w:val="000C786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0C786F"/>
    <w:rPr>
      <w:b/>
      <w:bCs/>
    </w:rPr>
  </w:style>
  <w:style w:type="character" w:styleId="Hyperlink">
    <w:name w:val="Hyperlink"/>
    <w:basedOn w:val="Fontepargpadro"/>
    <w:uiPriority w:val="99"/>
    <w:semiHidden/>
    <w:unhideWhenUsed/>
    <w:rsid w:val="000C786F"/>
    <w:rPr>
      <w:color w:val="0000FF"/>
      <w:u w:val="single"/>
    </w:rPr>
  </w:style>
  <w:style w:type="character" w:styleId="HiperlinkVisitado">
    <w:name w:val="FollowedHyperlink"/>
    <w:basedOn w:val="Fontepargpadro"/>
    <w:uiPriority w:val="99"/>
    <w:semiHidden/>
    <w:unhideWhenUsed/>
    <w:rsid w:val="000C786F"/>
    <w:rPr>
      <w:color w:val="800080"/>
      <w:u w:val="single"/>
    </w:rPr>
  </w:style>
  <w:style w:type="paragraph" w:styleId="SemEspaamento">
    <w:name w:val="No Spacing"/>
    <w:uiPriority w:val="1"/>
    <w:qFormat/>
    <w:rsid w:val="000C78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114051">
      <w:bodyDiv w:val="1"/>
      <w:marLeft w:val="0"/>
      <w:marRight w:val="0"/>
      <w:marTop w:val="0"/>
      <w:marBottom w:val="0"/>
      <w:divBdr>
        <w:top w:val="none" w:sz="0" w:space="0" w:color="auto"/>
        <w:left w:val="none" w:sz="0" w:space="0" w:color="auto"/>
        <w:bottom w:val="none" w:sz="0" w:space="0" w:color="auto"/>
        <w:right w:val="none" w:sz="0" w:space="0" w:color="auto"/>
      </w:divBdr>
      <w:divsChild>
        <w:div w:id="1376927401">
          <w:marLeft w:val="0"/>
          <w:marRight w:val="0"/>
          <w:marTop w:val="0"/>
          <w:marBottom w:val="0"/>
          <w:divBdr>
            <w:top w:val="none" w:sz="0" w:space="0" w:color="auto"/>
            <w:left w:val="none" w:sz="0" w:space="0" w:color="auto"/>
            <w:bottom w:val="none" w:sz="0" w:space="0" w:color="auto"/>
            <w:right w:val="none" w:sz="0" w:space="0" w:color="auto"/>
          </w:divBdr>
          <w:divsChild>
            <w:div w:id="1441757595">
              <w:marLeft w:val="0"/>
              <w:marRight w:val="0"/>
              <w:marTop w:val="0"/>
              <w:marBottom w:val="0"/>
              <w:divBdr>
                <w:top w:val="none" w:sz="0" w:space="0" w:color="auto"/>
                <w:left w:val="none" w:sz="0" w:space="0" w:color="auto"/>
                <w:bottom w:val="none" w:sz="0" w:space="0" w:color="auto"/>
                <w:right w:val="none" w:sz="0" w:space="0" w:color="auto"/>
              </w:divBdr>
              <w:divsChild>
                <w:div w:id="1998412698">
                  <w:marLeft w:val="0"/>
                  <w:marRight w:val="0"/>
                  <w:marTop w:val="0"/>
                  <w:marBottom w:val="0"/>
                  <w:divBdr>
                    <w:top w:val="none" w:sz="0" w:space="0" w:color="auto"/>
                    <w:left w:val="none" w:sz="0" w:space="0" w:color="auto"/>
                    <w:bottom w:val="none" w:sz="0" w:space="0" w:color="auto"/>
                    <w:right w:val="none" w:sz="0" w:space="0" w:color="auto"/>
                  </w:divBdr>
                  <w:divsChild>
                    <w:div w:id="429668399">
                      <w:marLeft w:val="0"/>
                      <w:marRight w:val="0"/>
                      <w:marTop w:val="0"/>
                      <w:marBottom w:val="0"/>
                      <w:divBdr>
                        <w:top w:val="none" w:sz="0" w:space="0" w:color="auto"/>
                        <w:left w:val="none" w:sz="0" w:space="0" w:color="auto"/>
                        <w:bottom w:val="none" w:sz="0" w:space="0" w:color="auto"/>
                        <w:right w:val="none" w:sz="0" w:space="0" w:color="auto"/>
                      </w:divBdr>
                      <w:divsChild>
                        <w:div w:id="807821286">
                          <w:marLeft w:val="0"/>
                          <w:marRight w:val="0"/>
                          <w:marTop w:val="0"/>
                          <w:marBottom w:val="0"/>
                          <w:divBdr>
                            <w:top w:val="none" w:sz="0" w:space="0" w:color="auto"/>
                            <w:left w:val="none" w:sz="0" w:space="0" w:color="auto"/>
                            <w:bottom w:val="none" w:sz="0" w:space="0" w:color="auto"/>
                            <w:right w:val="none" w:sz="0" w:space="0" w:color="auto"/>
                          </w:divBdr>
                          <w:divsChild>
                            <w:div w:id="98940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9121632">
          <w:marLeft w:val="0"/>
          <w:marRight w:val="0"/>
          <w:marTop w:val="0"/>
          <w:marBottom w:val="0"/>
          <w:divBdr>
            <w:top w:val="none" w:sz="0" w:space="0" w:color="auto"/>
            <w:left w:val="none" w:sz="0" w:space="0" w:color="auto"/>
            <w:bottom w:val="none" w:sz="0" w:space="0" w:color="auto"/>
            <w:right w:val="none" w:sz="0" w:space="0" w:color="auto"/>
          </w:divBdr>
          <w:divsChild>
            <w:div w:id="1548684930">
              <w:marLeft w:val="0"/>
              <w:marRight w:val="0"/>
              <w:marTop w:val="0"/>
              <w:marBottom w:val="0"/>
              <w:divBdr>
                <w:top w:val="none" w:sz="0" w:space="0" w:color="auto"/>
                <w:left w:val="none" w:sz="0" w:space="0" w:color="auto"/>
                <w:bottom w:val="none" w:sz="0" w:space="0" w:color="auto"/>
                <w:right w:val="none" w:sz="0" w:space="0" w:color="auto"/>
              </w:divBdr>
              <w:divsChild>
                <w:div w:id="194753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25564">
          <w:marLeft w:val="0"/>
          <w:marRight w:val="0"/>
          <w:marTop w:val="0"/>
          <w:marBottom w:val="0"/>
          <w:divBdr>
            <w:top w:val="none" w:sz="0" w:space="0" w:color="auto"/>
            <w:left w:val="none" w:sz="0" w:space="0" w:color="auto"/>
            <w:bottom w:val="none" w:sz="0" w:space="0" w:color="auto"/>
            <w:right w:val="none" w:sz="0" w:space="0" w:color="auto"/>
          </w:divBdr>
          <w:divsChild>
            <w:div w:id="1356955352">
              <w:marLeft w:val="0"/>
              <w:marRight w:val="0"/>
              <w:marTop w:val="0"/>
              <w:marBottom w:val="0"/>
              <w:divBdr>
                <w:top w:val="none" w:sz="0" w:space="0" w:color="auto"/>
                <w:left w:val="none" w:sz="0" w:space="0" w:color="auto"/>
                <w:bottom w:val="none" w:sz="0" w:space="0" w:color="auto"/>
                <w:right w:val="none" w:sz="0" w:space="0" w:color="auto"/>
              </w:divBdr>
              <w:divsChild>
                <w:div w:id="447042756">
                  <w:marLeft w:val="0"/>
                  <w:marRight w:val="0"/>
                  <w:marTop w:val="0"/>
                  <w:marBottom w:val="0"/>
                  <w:divBdr>
                    <w:top w:val="none" w:sz="0" w:space="0" w:color="auto"/>
                    <w:left w:val="none" w:sz="0" w:space="0" w:color="auto"/>
                    <w:bottom w:val="none" w:sz="0" w:space="0" w:color="auto"/>
                    <w:right w:val="none" w:sz="0" w:space="0" w:color="auto"/>
                  </w:divBdr>
                </w:div>
                <w:div w:id="1450509920">
                  <w:marLeft w:val="0"/>
                  <w:marRight w:val="0"/>
                  <w:marTop w:val="0"/>
                  <w:marBottom w:val="0"/>
                  <w:divBdr>
                    <w:top w:val="none" w:sz="0" w:space="0" w:color="auto"/>
                    <w:left w:val="none" w:sz="0" w:space="0" w:color="auto"/>
                    <w:bottom w:val="none" w:sz="0" w:space="0" w:color="auto"/>
                    <w:right w:val="none" w:sz="0" w:space="0" w:color="auto"/>
                  </w:divBdr>
                </w:div>
                <w:div w:id="1566140621">
                  <w:marLeft w:val="0"/>
                  <w:marRight w:val="0"/>
                  <w:marTop w:val="0"/>
                  <w:marBottom w:val="0"/>
                  <w:divBdr>
                    <w:top w:val="none" w:sz="0" w:space="0" w:color="auto"/>
                    <w:left w:val="none" w:sz="0" w:space="0" w:color="auto"/>
                    <w:bottom w:val="none" w:sz="0" w:space="0" w:color="auto"/>
                    <w:right w:val="none" w:sz="0" w:space="0" w:color="auto"/>
                  </w:divBdr>
                </w:div>
                <w:div w:id="356850805">
                  <w:marLeft w:val="0"/>
                  <w:marRight w:val="0"/>
                  <w:marTop w:val="0"/>
                  <w:marBottom w:val="0"/>
                  <w:divBdr>
                    <w:top w:val="none" w:sz="0" w:space="0" w:color="auto"/>
                    <w:left w:val="none" w:sz="0" w:space="0" w:color="auto"/>
                    <w:bottom w:val="none" w:sz="0" w:space="0" w:color="auto"/>
                    <w:right w:val="none" w:sz="0" w:space="0" w:color="auto"/>
                  </w:divBdr>
                </w:div>
                <w:div w:id="1398284971">
                  <w:marLeft w:val="0"/>
                  <w:marRight w:val="0"/>
                  <w:marTop w:val="0"/>
                  <w:marBottom w:val="0"/>
                  <w:divBdr>
                    <w:top w:val="none" w:sz="0" w:space="0" w:color="auto"/>
                    <w:left w:val="none" w:sz="0" w:space="0" w:color="auto"/>
                    <w:bottom w:val="none" w:sz="0" w:space="0" w:color="auto"/>
                    <w:right w:val="none" w:sz="0" w:space="0" w:color="auto"/>
                  </w:divBdr>
                </w:div>
                <w:div w:id="9197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58631">
          <w:marLeft w:val="0"/>
          <w:marRight w:val="0"/>
          <w:marTop w:val="0"/>
          <w:marBottom w:val="0"/>
          <w:divBdr>
            <w:top w:val="none" w:sz="0" w:space="0" w:color="auto"/>
            <w:left w:val="none" w:sz="0" w:space="0" w:color="auto"/>
            <w:bottom w:val="none" w:sz="0" w:space="0" w:color="auto"/>
            <w:right w:val="none" w:sz="0" w:space="0" w:color="auto"/>
          </w:divBdr>
          <w:divsChild>
            <w:div w:id="144908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54</Pages>
  <Words>22699</Words>
  <Characters>122580</Characters>
  <Application>Microsoft Office Word</Application>
  <DocSecurity>0</DocSecurity>
  <Lines>1021</Lines>
  <Paragraphs>289</Paragraphs>
  <ScaleCrop>false</ScaleCrop>
  <Company/>
  <LinksUpToDate>false</LinksUpToDate>
  <CharactersWithSpaces>144990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2017-10-04T12:13:00Z</dcterms:created>
  <dcterms:modified xsi:type="dcterms:W3CDTF">2017-10-04T12:16:00Z</dcterms:modified>
</cp:coreProperties>
</file>